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4" w:rsidRPr="00E038CB" w:rsidRDefault="00611267" w:rsidP="003D08BF">
      <w:pPr>
        <w:tabs>
          <w:tab w:val="left" w:pos="0"/>
        </w:tabs>
        <w:spacing w:after="0" w:line="276" w:lineRule="auto"/>
        <w:jc w:val="center"/>
        <w:rPr>
          <w:rFonts w:ascii="Sylfaen" w:hAnsi="Sylfaen"/>
          <w:b/>
          <w:sz w:val="24"/>
        </w:rPr>
      </w:pPr>
      <w:r w:rsidRPr="00E038CB">
        <w:rPr>
          <w:rFonts w:ascii="Sylfaen" w:hAnsi="Sylfaen"/>
          <w:b/>
          <w:sz w:val="24"/>
        </w:rPr>
        <w:t xml:space="preserve">ინფორმაცია </w:t>
      </w:r>
    </w:p>
    <w:p w:rsidR="003D08BF" w:rsidRPr="00E038CB" w:rsidRDefault="00C64D86" w:rsidP="003D08BF">
      <w:pPr>
        <w:tabs>
          <w:tab w:val="left" w:pos="0"/>
        </w:tabs>
        <w:spacing w:after="0" w:line="276" w:lineRule="auto"/>
        <w:jc w:val="center"/>
        <w:rPr>
          <w:rFonts w:ascii="Sylfaen" w:hAnsi="Sylfaen"/>
          <w:b/>
        </w:rPr>
      </w:pPr>
      <w:r w:rsidRPr="00E038CB">
        <w:rPr>
          <w:rFonts w:ascii="Sylfaen" w:hAnsi="Sylfaen"/>
          <w:b/>
        </w:rPr>
        <w:t>„საქართველოს</w:t>
      </w:r>
      <w:r w:rsidR="00A822B0">
        <w:rPr>
          <w:rFonts w:ascii="Sylfaen" w:hAnsi="Sylfaen"/>
          <w:b/>
        </w:rPr>
        <w:t xml:space="preserve"> 2024</w:t>
      </w:r>
      <w:r w:rsidRPr="00E038CB">
        <w:rPr>
          <w:rFonts w:ascii="Sylfaen" w:hAnsi="Sylfaen"/>
          <w:b/>
        </w:rPr>
        <w:t xml:space="preserve"> წლის სახელმწიფო ბიუჯეტის შესახებ“ საქართველოს კანონის </w:t>
      </w:r>
      <w:r w:rsidR="00052183" w:rsidRPr="00E038CB">
        <w:rPr>
          <w:rFonts w:ascii="Sylfaen" w:hAnsi="Sylfaen"/>
          <w:b/>
        </w:rPr>
        <w:t xml:space="preserve">პროექტის, </w:t>
      </w:r>
      <w:r w:rsidR="00A822B0">
        <w:rPr>
          <w:rFonts w:ascii="Sylfaen" w:hAnsi="Sylfaen"/>
          <w:b/>
        </w:rPr>
        <w:t>2023</w:t>
      </w:r>
      <w:r w:rsidR="00052183" w:rsidRPr="00E038CB">
        <w:rPr>
          <w:rFonts w:ascii="Sylfaen" w:hAnsi="Sylfaen"/>
          <w:b/>
        </w:rPr>
        <w:t xml:space="preserve"> წლის სახელმწიფო ბიუჯეტის შესრულების მიმდინარეობის შესახებ“ საქართველოს მთავრობის მოხსენებასა </w:t>
      </w:r>
      <w:r w:rsidRPr="00E038CB">
        <w:rPr>
          <w:rFonts w:ascii="Sylfaen" w:hAnsi="Sylfaen"/>
          <w:b/>
        </w:rPr>
        <w:t>და „ქვეყნის ძირითადი მონაცემები</w:t>
      </w:r>
      <w:r w:rsidR="00052183" w:rsidRPr="00E038CB">
        <w:rPr>
          <w:rFonts w:ascii="Sylfaen" w:hAnsi="Sylfaen"/>
          <w:b/>
        </w:rPr>
        <w:t xml:space="preserve"> </w:t>
      </w:r>
      <w:r w:rsidRPr="00E038CB">
        <w:rPr>
          <w:rFonts w:ascii="Sylfaen" w:hAnsi="Sylfaen"/>
          <w:b/>
        </w:rPr>
        <w:t>და მიმართულებები</w:t>
      </w:r>
      <w:r w:rsidR="00A822B0">
        <w:rPr>
          <w:rFonts w:ascii="Sylfaen" w:hAnsi="Sylfaen"/>
          <w:b/>
        </w:rPr>
        <w:t xml:space="preserve"> 2024-2027</w:t>
      </w:r>
      <w:r w:rsidRPr="00E038CB">
        <w:rPr>
          <w:rFonts w:ascii="Sylfaen" w:hAnsi="Sylfaen"/>
          <w:b/>
        </w:rPr>
        <w:t xml:space="preserve"> წლებისათვის“ დოკუმენტის გადამუშავებულ ვარიანტებზე</w:t>
      </w:r>
      <w:r w:rsidR="00CA548A">
        <w:rPr>
          <w:rFonts w:ascii="Sylfaen" w:hAnsi="Sylfaen"/>
          <w:b/>
        </w:rPr>
        <w:t xml:space="preserve"> </w:t>
      </w:r>
      <w:r w:rsidR="00F14744" w:rsidRPr="00E038CB">
        <w:rPr>
          <w:rFonts w:ascii="Sylfaen" w:hAnsi="Sylfaen"/>
          <w:b/>
        </w:rPr>
        <w:t xml:space="preserve">საქართველოს პარლამენტის </w:t>
      </w:r>
      <w:r w:rsidR="00AB62D0" w:rsidRPr="00E038CB">
        <w:rPr>
          <w:rFonts w:ascii="Sylfaen" w:hAnsi="Sylfaen"/>
          <w:b/>
        </w:rPr>
        <w:t>საფინანსო-საბიუჯეტო კომიტეტის</w:t>
      </w:r>
      <w:r w:rsidR="00AF7BC4" w:rsidRPr="00E038CB">
        <w:rPr>
          <w:rFonts w:ascii="Sylfaen" w:hAnsi="Sylfaen"/>
          <w:b/>
        </w:rPr>
        <w:t xml:space="preserve"> რეკომენდაციების გათვალისწინების შესაძლებლობის შესახებ</w:t>
      </w:r>
    </w:p>
    <w:p w:rsidR="003D08BF" w:rsidRPr="00E038CB" w:rsidRDefault="003D08BF" w:rsidP="003D08BF">
      <w:pPr>
        <w:tabs>
          <w:tab w:val="left" w:pos="0"/>
        </w:tabs>
        <w:spacing w:after="0" w:line="276" w:lineRule="auto"/>
        <w:jc w:val="center"/>
        <w:rPr>
          <w:rFonts w:ascii="Sylfaen" w:hAnsi="Sylfaen" w:cstheme="minorHAnsi"/>
          <w:b/>
          <w:bCs/>
          <w:noProof/>
        </w:rPr>
      </w:pPr>
    </w:p>
    <w:tbl>
      <w:tblPr>
        <w:tblStyle w:val="TableGrid"/>
        <w:tblW w:w="5252" w:type="pct"/>
        <w:tblInd w:w="-635" w:type="dxa"/>
        <w:tblLook w:val="04A0" w:firstRow="1" w:lastRow="0" w:firstColumn="1" w:lastColumn="0" w:noHBand="0" w:noVBand="1"/>
      </w:tblPr>
      <w:tblGrid>
        <w:gridCol w:w="460"/>
        <w:gridCol w:w="6410"/>
        <w:gridCol w:w="6733"/>
      </w:tblGrid>
      <w:tr w:rsidR="00336E24" w:rsidRPr="00A822B0" w:rsidTr="00DE2F3B">
        <w:trPr>
          <w:trHeight w:val="395"/>
          <w:tblHeader/>
        </w:trPr>
        <w:tc>
          <w:tcPr>
            <w:tcW w:w="169" w:type="pct"/>
          </w:tcPr>
          <w:p w:rsidR="00336E24" w:rsidRPr="00A822B0" w:rsidRDefault="00336E24" w:rsidP="003D08BF">
            <w:pPr>
              <w:tabs>
                <w:tab w:val="left" w:pos="0"/>
              </w:tabs>
              <w:spacing w:line="276" w:lineRule="auto"/>
              <w:jc w:val="center"/>
              <w:rPr>
                <w:rFonts w:ascii="Sylfaen" w:hAnsi="Sylfaen" w:cstheme="minorHAnsi"/>
                <w:b/>
                <w:bCs/>
                <w:noProof/>
              </w:rPr>
            </w:pPr>
            <w:r w:rsidRPr="00A822B0">
              <w:rPr>
                <w:rFonts w:ascii="Sylfaen" w:hAnsi="Sylfaen" w:cstheme="minorHAnsi"/>
                <w:b/>
                <w:bCs/>
                <w:noProof/>
              </w:rPr>
              <w:t>№</w:t>
            </w:r>
          </w:p>
        </w:tc>
        <w:tc>
          <w:tcPr>
            <w:tcW w:w="2356" w:type="pct"/>
            <w:vAlign w:val="center"/>
          </w:tcPr>
          <w:p w:rsidR="00336E24" w:rsidRPr="00A822B0" w:rsidRDefault="00336E24" w:rsidP="00A822B0">
            <w:pPr>
              <w:tabs>
                <w:tab w:val="left" w:pos="0"/>
              </w:tabs>
              <w:spacing w:line="276" w:lineRule="auto"/>
              <w:jc w:val="center"/>
              <w:rPr>
                <w:rFonts w:ascii="Sylfaen" w:hAnsi="Sylfaen" w:cstheme="minorHAnsi"/>
                <w:b/>
                <w:bCs/>
                <w:noProof/>
              </w:rPr>
            </w:pPr>
            <w:r w:rsidRPr="00A822B0">
              <w:rPr>
                <w:rFonts w:ascii="Sylfaen" w:hAnsi="Sylfaen"/>
                <w:b/>
              </w:rPr>
              <w:t>რეკომენდაცია</w:t>
            </w:r>
          </w:p>
        </w:tc>
        <w:tc>
          <w:tcPr>
            <w:tcW w:w="2475" w:type="pct"/>
            <w:vAlign w:val="center"/>
          </w:tcPr>
          <w:p w:rsidR="00336E24" w:rsidRPr="00A822B0" w:rsidRDefault="00336E24" w:rsidP="00A822B0">
            <w:pPr>
              <w:tabs>
                <w:tab w:val="left" w:pos="0"/>
              </w:tabs>
              <w:spacing w:line="276" w:lineRule="auto"/>
              <w:jc w:val="center"/>
              <w:rPr>
                <w:rFonts w:ascii="Sylfaen" w:hAnsi="Sylfaen" w:cstheme="minorHAnsi"/>
                <w:b/>
                <w:bCs/>
                <w:noProof/>
              </w:rPr>
            </w:pPr>
            <w:r w:rsidRPr="00A822B0">
              <w:rPr>
                <w:rFonts w:ascii="Sylfaen" w:hAnsi="Sylfaen"/>
                <w:b/>
              </w:rPr>
              <w:t>რეკომენდაციის გათვალისწინების შესაძლებლობა</w:t>
            </w:r>
          </w:p>
        </w:tc>
      </w:tr>
      <w:tr w:rsidR="00F14744" w:rsidRPr="00A822B0" w:rsidTr="00DE2F3B">
        <w:tc>
          <w:tcPr>
            <w:tcW w:w="169" w:type="pct"/>
            <w:vAlign w:val="center"/>
          </w:tcPr>
          <w:p w:rsidR="00F14744" w:rsidRPr="00A822B0" w:rsidRDefault="003E05A6"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1</w:t>
            </w:r>
          </w:p>
        </w:tc>
        <w:tc>
          <w:tcPr>
            <w:tcW w:w="2356" w:type="pct"/>
          </w:tcPr>
          <w:p w:rsidR="00570817" w:rsidRPr="00A822B0" w:rsidRDefault="00A822B0" w:rsidP="00A822B0">
            <w:pPr>
              <w:spacing w:line="276" w:lineRule="auto"/>
              <w:jc w:val="both"/>
              <w:rPr>
                <w:rFonts w:ascii="Sylfaen" w:hAnsi="Sylfaen" w:cstheme="minorHAnsi"/>
                <w:bCs/>
                <w:noProof/>
                <w:lang w:val="ka-GE"/>
              </w:rPr>
            </w:pPr>
            <w:r w:rsidRPr="00A822B0">
              <w:rPr>
                <w:rFonts w:ascii="Sylfaen" w:hAnsi="Sylfaen" w:cstheme="minorHAnsi"/>
                <w:bCs/>
                <w:noProof/>
                <w:lang w:val="ka-GE"/>
              </w:rPr>
              <w:t>ბიუჯეტის პროექტით წარმოდგენილ საპროგნოზო მაჩვენებლებთან</w:t>
            </w:r>
            <w:r w:rsidRPr="00A822B0">
              <w:rPr>
                <w:rFonts w:ascii="Sylfaen" w:hAnsi="Sylfaen" w:cstheme="minorHAnsi"/>
                <w:bCs/>
                <w:noProof/>
              </w:rPr>
              <w:t xml:space="preserve"> </w:t>
            </w:r>
            <w:r w:rsidRPr="00A822B0">
              <w:rPr>
                <w:rFonts w:ascii="Sylfaen" w:hAnsi="Sylfaen" w:cstheme="minorHAnsi"/>
                <w:bCs/>
                <w:noProof/>
                <w:lang w:val="ka-GE"/>
              </w:rPr>
              <w:t xml:space="preserve">შედარებით </w:t>
            </w:r>
            <w:r w:rsidRPr="00A822B0">
              <w:rPr>
                <w:rFonts w:ascii="Sylfaen" w:hAnsi="Sylfaen" w:cstheme="minorHAnsi"/>
                <w:b/>
                <w:bCs/>
                <w:noProof/>
                <w:lang w:val="ka-GE"/>
              </w:rPr>
              <w:t>შესაძლებელია ბიუჯეტში შემოსავლების, მათ შორის,</w:t>
            </w:r>
            <w:r w:rsidRPr="00A822B0">
              <w:rPr>
                <w:rFonts w:ascii="Sylfaen" w:hAnsi="Sylfaen" w:cstheme="minorHAnsi"/>
                <w:b/>
                <w:bCs/>
                <w:noProof/>
              </w:rPr>
              <w:t xml:space="preserve"> </w:t>
            </w:r>
            <w:r w:rsidRPr="00A822B0">
              <w:rPr>
                <w:rFonts w:ascii="Sylfaen" w:hAnsi="Sylfaen" w:cstheme="minorHAnsi"/>
                <w:b/>
                <w:bCs/>
                <w:noProof/>
                <w:lang w:val="ka-GE"/>
              </w:rPr>
              <w:t>საგადასახადო შემოსავლების სახით დამატებითი ფულადი სახსრების</w:t>
            </w:r>
            <w:r w:rsidRPr="00A822B0">
              <w:rPr>
                <w:rFonts w:ascii="Sylfaen" w:hAnsi="Sylfaen" w:cstheme="minorHAnsi"/>
                <w:b/>
                <w:bCs/>
                <w:noProof/>
              </w:rPr>
              <w:t xml:space="preserve"> </w:t>
            </w:r>
            <w:r w:rsidRPr="00A822B0">
              <w:rPr>
                <w:rFonts w:ascii="Sylfaen" w:hAnsi="Sylfaen" w:cstheme="minorHAnsi"/>
                <w:b/>
                <w:bCs/>
                <w:noProof/>
                <w:lang w:val="ka-GE"/>
              </w:rPr>
              <w:t>აკუმულირება,</w:t>
            </w:r>
            <w:r w:rsidRPr="00A822B0">
              <w:rPr>
                <w:rFonts w:ascii="Sylfaen" w:hAnsi="Sylfaen" w:cstheme="minorHAnsi"/>
                <w:bCs/>
                <w:noProof/>
                <w:lang w:val="ka-GE"/>
              </w:rPr>
              <w:t xml:space="preserve"> რაზედაც ასევე, დადებითი გავლენა შეიძლება იქონიოს</w:t>
            </w:r>
            <w:r w:rsidRPr="00A822B0">
              <w:rPr>
                <w:rFonts w:ascii="Sylfaen" w:hAnsi="Sylfaen" w:cstheme="minorHAnsi"/>
                <w:bCs/>
                <w:noProof/>
              </w:rPr>
              <w:t xml:space="preserve"> </w:t>
            </w:r>
            <w:r w:rsidRPr="00A822B0">
              <w:rPr>
                <w:rFonts w:ascii="Sylfaen" w:hAnsi="Sylfaen" w:cstheme="minorHAnsi"/>
                <w:bCs/>
                <w:noProof/>
                <w:lang w:val="ka-GE"/>
              </w:rPr>
              <w:t>მიმდინარე წლის პირველი რვა თვის (საშუალო ეკონომიკური ზრდა 7%-ია,</w:t>
            </w:r>
            <w:r w:rsidRPr="00A822B0">
              <w:rPr>
                <w:rFonts w:ascii="Sylfaen" w:hAnsi="Sylfaen" w:cstheme="minorHAnsi"/>
                <w:bCs/>
                <w:noProof/>
              </w:rPr>
              <w:t xml:space="preserve"> </w:t>
            </w:r>
            <w:r w:rsidRPr="00A822B0">
              <w:rPr>
                <w:rFonts w:ascii="Sylfaen" w:hAnsi="Sylfaen" w:cstheme="minorHAnsi"/>
                <w:bCs/>
                <w:noProof/>
                <w:lang w:val="ka-GE"/>
              </w:rPr>
              <w:t>წლიური მოსალოდნელი მაჩვენებელი 6.5%-ია) ეკონომიკური აქტივობის</w:t>
            </w:r>
            <w:r w:rsidRPr="00A822B0">
              <w:rPr>
                <w:rFonts w:ascii="Sylfaen" w:hAnsi="Sylfaen" w:cstheme="minorHAnsi"/>
                <w:bCs/>
                <w:noProof/>
              </w:rPr>
              <w:t xml:space="preserve"> </w:t>
            </w:r>
            <w:r w:rsidRPr="00A822B0">
              <w:rPr>
                <w:rFonts w:ascii="Sylfaen" w:hAnsi="Sylfaen" w:cstheme="minorHAnsi"/>
                <w:bCs/>
                <w:noProof/>
                <w:lang w:val="ka-GE"/>
              </w:rPr>
              <w:t>ტენდენციის წლის ბოლომდე შენარჩუნებამ</w:t>
            </w:r>
            <w:r w:rsidR="004B2C52">
              <w:rPr>
                <w:rFonts w:ascii="Sylfaen" w:hAnsi="Sylfaen" w:cstheme="minorHAnsi"/>
                <w:bCs/>
                <w:noProof/>
                <w:lang w:val="ka-GE"/>
              </w:rPr>
              <w:t>.</w:t>
            </w:r>
          </w:p>
        </w:tc>
        <w:tc>
          <w:tcPr>
            <w:tcW w:w="2475" w:type="pct"/>
          </w:tcPr>
          <w:p w:rsidR="00E51040" w:rsidRPr="00E51040" w:rsidRDefault="00E51040" w:rsidP="00481EC2">
            <w:pPr>
              <w:spacing w:line="276" w:lineRule="auto"/>
              <w:jc w:val="both"/>
              <w:rPr>
                <w:rFonts w:ascii="Sylfaen" w:hAnsi="Sylfaen" w:cstheme="minorHAnsi"/>
                <w:b/>
                <w:lang w:val="ka-GE"/>
              </w:rPr>
            </w:pPr>
            <w:r w:rsidRPr="00E51040">
              <w:rPr>
                <w:rFonts w:ascii="Sylfaen" w:hAnsi="Sylfaen" w:cstheme="minorHAnsi"/>
                <w:b/>
                <w:lang w:val="ka-GE"/>
              </w:rPr>
              <w:t>გათვალისწინებულია</w:t>
            </w:r>
          </w:p>
          <w:p w:rsidR="00970B11" w:rsidRDefault="00E51040" w:rsidP="00481EC2">
            <w:pPr>
              <w:spacing w:line="276" w:lineRule="auto"/>
              <w:jc w:val="both"/>
              <w:rPr>
                <w:rFonts w:ascii="Sylfaen" w:hAnsi="Sylfaen" w:cstheme="minorHAnsi"/>
                <w:lang w:val="ka-GE"/>
              </w:rPr>
            </w:pPr>
            <w:r>
              <w:rPr>
                <w:rFonts w:ascii="Sylfaen" w:hAnsi="Sylfaen" w:cstheme="minorHAnsi"/>
                <w:lang w:val="ka-GE"/>
              </w:rPr>
              <w:t xml:space="preserve">2023 წლის </w:t>
            </w:r>
            <w:r>
              <w:rPr>
                <w:rFonts w:ascii="Sylfaen" w:hAnsi="Sylfaen" w:cstheme="minorHAnsi"/>
              </w:rPr>
              <w:t xml:space="preserve">9 </w:t>
            </w:r>
            <w:r>
              <w:rPr>
                <w:rFonts w:ascii="Sylfaen" w:hAnsi="Sylfaen" w:cstheme="minorHAnsi"/>
                <w:lang w:val="ka-GE"/>
              </w:rPr>
              <w:t>თვის საშუალო ეკონომიკური ზრდის საშუალო მაჩვენებელი შეადგენს 6,8%-ს, შესაბამისად მიმდინარე წელს წლიური ეკონომიკური ზრდის 6,5%-იანი პროგნოზი არ შეიცვლება ჩაითვალოს პესიმისტურ მაჩვენებლად და ამ ეტაპისთვის მისი კორექტირება არამიზანშეწონილია.</w:t>
            </w:r>
          </w:p>
          <w:p w:rsidR="00E51040" w:rsidRPr="00E51040" w:rsidRDefault="00E51040" w:rsidP="00E51040">
            <w:pPr>
              <w:spacing w:line="276" w:lineRule="auto"/>
              <w:jc w:val="both"/>
              <w:rPr>
                <w:rFonts w:ascii="Sylfaen" w:hAnsi="Sylfaen" w:cstheme="minorHAnsi"/>
                <w:lang w:val="ka-GE"/>
              </w:rPr>
            </w:pPr>
            <w:r>
              <w:rPr>
                <w:rFonts w:ascii="Sylfaen" w:hAnsi="Sylfaen" w:cstheme="minorHAnsi"/>
                <w:lang w:val="ka-GE"/>
              </w:rPr>
              <w:t>მიუხედავად ზემოაღნიშნულისა</w:t>
            </w:r>
            <w:r w:rsidR="004B2C52">
              <w:rPr>
                <w:rFonts w:ascii="Sylfaen" w:hAnsi="Sylfaen" w:cstheme="minorHAnsi"/>
                <w:lang w:val="ka-GE"/>
              </w:rPr>
              <w:t>,</w:t>
            </w:r>
            <w:r>
              <w:rPr>
                <w:rFonts w:ascii="Sylfaen" w:hAnsi="Sylfaen" w:cstheme="minorHAnsi"/>
                <w:lang w:val="ka-GE"/>
              </w:rPr>
              <w:t xml:space="preserve"> რეკომენდცია გათვალისწინებულია და ბიუჯეტის ადამუშავებულ ვარიანტში ნაერთი ბიუჯეტის საგადასახადო შემოსავლები გაზრდილია 700,0 მლნ ლარით, საიდანაც დამატებით 300,0 მლნ ლარის მობილიზება განხორციელდება არსებული კანონმდებლობის ფარგლებში საფინანსო სექტორის მოგების გადასახადის სახით, ხოლო 400,0 მლნ ლარის მობილიზება პროგნოზირებულია სათამაშო ბიზნესის დაბეგვრის საგადასახადო განაკვეთების დაგეგმილი ცვლილებებით.</w:t>
            </w:r>
          </w:p>
        </w:tc>
      </w:tr>
      <w:tr w:rsidR="00C64D86" w:rsidRPr="00A822B0" w:rsidTr="00DE2F3B">
        <w:tc>
          <w:tcPr>
            <w:tcW w:w="169" w:type="pct"/>
            <w:vAlign w:val="center"/>
          </w:tcPr>
          <w:p w:rsidR="00C64D86" w:rsidRPr="00A822B0" w:rsidRDefault="00C64D86"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2</w:t>
            </w:r>
          </w:p>
        </w:tc>
        <w:tc>
          <w:tcPr>
            <w:tcW w:w="2356" w:type="pct"/>
          </w:tcPr>
          <w:p w:rsidR="00C64D86" w:rsidRPr="00DE2F3B" w:rsidRDefault="00DE2F3B" w:rsidP="00DE2F3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ს</w:t>
            </w:r>
            <w:r w:rsidR="00A822B0" w:rsidRPr="00A822B0">
              <w:rPr>
                <w:rFonts w:ascii="Sylfaen" w:hAnsi="Sylfaen" w:cstheme="minorHAnsi"/>
                <w:bCs/>
                <w:noProof/>
                <w:lang w:val="ka-GE"/>
              </w:rPr>
              <w:t>აქართველოს პარლამენტში ინიცირებულია ისეთი კანონპროექტები,</w:t>
            </w:r>
            <w:r w:rsidR="00A822B0" w:rsidRPr="00A822B0">
              <w:rPr>
                <w:rFonts w:ascii="Sylfaen" w:hAnsi="Sylfaen" w:cstheme="minorHAnsi"/>
                <w:bCs/>
                <w:noProof/>
              </w:rPr>
              <w:t xml:space="preserve"> </w:t>
            </w:r>
            <w:r w:rsidR="00A822B0" w:rsidRPr="00A822B0">
              <w:rPr>
                <w:rFonts w:ascii="Sylfaen" w:hAnsi="Sylfaen" w:cstheme="minorHAnsi"/>
                <w:bCs/>
                <w:noProof/>
                <w:lang w:val="ka-GE"/>
              </w:rPr>
              <w:t>როგორიც არის „საქართველოს სისხლის სამართლის საპროცესო კოდექსში</w:t>
            </w:r>
            <w:r w:rsidR="00A822B0" w:rsidRPr="00A822B0">
              <w:rPr>
                <w:rFonts w:ascii="Sylfaen" w:hAnsi="Sylfaen" w:cstheme="minorHAnsi"/>
                <w:bCs/>
                <w:noProof/>
              </w:rPr>
              <w:t xml:space="preserve"> </w:t>
            </w:r>
            <w:r w:rsidR="00A822B0" w:rsidRPr="00A822B0">
              <w:rPr>
                <w:rFonts w:ascii="Sylfaen" w:hAnsi="Sylfaen" w:cstheme="minorHAnsi"/>
                <w:bCs/>
                <w:noProof/>
                <w:lang w:val="ka-GE"/>
              </w:rPr>
              <w:t>ცვლილების შეტანის შესახებ“(N07-3/357; 27.09.2023) და „არასრულწლოვანთა</w:t>
            </w:r>
            <w:r>
              <w:rPr>
                <w:rFonts w:ascii="Sylfaen" w:hAnsi="Sylfaen" w:cstheme="minorHAnsi"/>
                <w:bCs/>
                <w:noProof/>
                <w:lang w:val="ka-GE"/>
              </w:rPr>
              <w:t xml:space="preserve"> </w:t>
            </w:r>
            <w:r w:rsidR="00A822B0" w:rsidRPr="00A822B0">
              <w:rPr>
                <w:rFonts w:ascii="Sylfaen" w:hAnsi="Sylfaen" w:cstheme="minorHAnsi"/>
                <w:bCs/>
                <w:noProof/>
                <w:lang w:val="ka-GE"/>
              </w:rPr>
              <w:t>მართლმსაჯულების კოდექსში ცვლილების შეტანის შესახებ“(N07-3/107;</w:t>
            </w:r>
            <w:r w:rsidR="00A822B0" w:rsidRPr="00A822B0">
              <w:rPr>
                <w:rFonts w:ascii="Sylfaen" w:hAnsi="Sylfaen" w:cstheme="minorHAnsi"/>
                <w:bCs/>
                <w:noProof/>
              </w:rPr>
              <w:t xml:space="preserve"> </w:t>
            </w:r>
            <w:r w:rsidR="00A822B0" w:rsidRPr="00A822B0">
              <w:rPr>
                <w:rFonts w:ascii="Sylfaen" w:hAnsi="Sylfaen" w:cstheme="minorHAnsi"/>
                <w:bCs/>
                <w:noProof/>
                <w:lang w:val="ka-GE"/>
              </w:rPr>
              <w:t>02.09.2021). ასევე, მიმდინარეობს მუშაობა საქართველოს კანონის პროექტზე</w:t>
            </w:r>
            <w:r w:rsidR="00A822B0" w:rsidRPr="00A822B0">
              <w:rPr>
                <w:rFonts w:ascii="Sylfaen" w:hAnsi="Sylfaen" w:cstheme="minorHAnsi"/>
                <w:bCs/>
                <w:noProof/>
              </w:rPr>
              <w:t xml:space="preserve"> </w:t>
            </w:r>
            <w:r w:rsidR="00A822B0" w:rsidRPr="00A822B0">
              <w:rPr>
                <w:rFonts w:ascii="Sylfaen" w:hAnsi="Sylfaen" w:cstheme="minorHAnsi"/>
                <w:bCs/>
                <w:noProof/>
                <w:lang w:val="ka-GE"/>
              </w:rPr>
              <w:t>„შინაურ ბინადარ ცხოველთა შესახებ“, რომლის ინიცირება იგეგმება უახლოეს</w:t>
            </w:r>
            <w:r w:rsidR="00A822B0" w:rsidRPr="00A822B0">
              <w:rPr>
                <w:rFonts w:ascii="Sylfaen" w:hAnsi="Sylfaen" w:cstheme="minorHAnsi"/>
                <w:bCs/>
                <w:noProof/>
              </w:rPr>
              <w:t xml:space="preserve"> </w:t>
            </w:r>
            <w:r w:rsidR="00A822B0" w:rsidRPr="00A822B0">
              <w:rPr>
                <w:rFonts w:ascii="Sylfaen" w:hAnsi="Sylfaen" w:cstheme="minorHAnsi"/>
                <w:bCs/>
                <w:noProof/>
                <w:lang w:val="ka-GE"/>
              </w:rPr>
              <w:t xml:space="preserve">მომავალში. </w:t>
            </w:r>
            <w:r w:rsidR="00A822B0" w:rsidRPr="00A33267">
              <w:rPr>
                <w:rFonts w:ascii="Sylfaen" w:hAnsi="Sylfaen" w:cstheme="minorHAnsi"/>
                <w:b/>
                <w:bCs/>
                <w:noProof/>
                <w:lang w:val="ka-GE"/>
              </w:rPr>
              <w:t>აღნიშნული კანონების ძალაში შესვლის შემდეგ საჭირო იქნება</w:t>
            </w:r>
            <w:r w:rsidR="00A822B0" w:rsidRPr="00A33267">
              <w:rPr>
                <w:rFonts w:ascii="Sylfaen" w:hAnsi="Sylfaen" w:cstheme="minorHAnsi"/>
                <w:b/>
                <w:bCs/>
                <w:noProof/>
              </w:rPr>
              <w:t xml:space="preserve"> </w:t>
            </w:r>
            <w:r w:rsidR="00A822B0" w:rsidRPr="00A33267">
              <w:rPr>
                <w:rFonts w:ascii="Sylfaen" w:hAnsi="Sylfaen" w:cstheme="minorHAnsi"/>
                <w:b/>
                <w:bCs/>
                <w:noProof/>
                <w:lang w:val="ka-GE"/>
              </w:rPr>
              <w:t>გარკვეული თანხები, რომლის ოდენობის განსაზღვრისა და 2024 წლის</w:t>
            </w:r>
            <w:r w:rsidR="00A822B0" w:rsidRPr="00A33267">
              <w:rPr>
                <w:rFonts w:ascii="Sylfaen" w:hAnsi="Sylfaen" w:cstheme="minorHAnsi"/>
                <w:b/>
                <w:bCs/>
                <w:noProof/>
              </w:rPr>
              <w:t xml:space="preserve"> </w:t>
            </w:r>
            <w:r w:rsidR="00A822B0" w:rsidRPr="00A33267">
              <w:rPr>
                <w:rFonts w:ascii="Sylfaen" w:hAnsi="Sylfaen" w:cstheme="minorHAnsi"/>
                <w:b/>
                <w:bCs/>
                <w:noProof/>
                <w:lang w:val="ka-GE"/>
              </w:rPr>
              <w:t>სახელმწიფო ბიუჯეტში გათვალისწინების მიზნით, მიზანშეწონილია</w:t>
            </w:r>
            <w:r w:rsidR="00A822B0" w:rsidRPr="00A33267">
              <w:rPr>
                <w:rFonts w:ascii="Sylfaen" w:hAnsi="Sylfaen" w:cstheme="minorHAnsi"/>
                <w:b/>
                <w:bCs/>
                <w:noProof/>
              </w:rPr>
              <w:t xml:space="preserve"> </w:t>
            </w:r>
            <w:r w:rsidR="00A822B0" w:rsidRPr="00A33267">
              <w:rPr>
                <w:rFonts w:ascii="Sylfaen" w:hAnsi="Sylfaen" w:cstheme="minorHAnsi"/>
                <w:b/>
                <w:bCs/>
                <w:noProof/>
                <w:lang w:val="ka-GE"/>
              </w:rPr>
              <w:t>დაინტერესებულ მხარეებთან კონსულტაციები</w:t>
            </w:r>
            <w:r>
              <w:rPr>
                <w:rFonts w:ascii="Sylfaen" w:hAnsi="Sylfaen" w:cstheme="minorHAnsi"/>
                <w:b/>
                <w:bCs/>
                <w:noProof/>
                <w:lang w:val="ka-GE"/>
              </w:rPr>
              <w:t xml:space="preserve">. </w:t>
            </w:r>
          </w:p>
        </w:tc>
        <w:tc>
          <w:tcPr>
            <w:tcW w:w="2475" w:type="pct"/>
          </w:tcPr>
          <w:p w:rsidR="00E51040" w:rsidRPr="00E51040" w:rsidRDefault="00E51040" w:rsidP="00B5347A">
            <w:pPr>
              <w:tabs>
                <w:tab w:val="left" w:pos="0"/>
              </w:tabs>
              <w:spacing w:line="276" w:lineRule="auto"/>
              <w:jc w:val="both"/>
              <w:rPr>
                <w:rFonts w:ascii="Sylfaen" w:hAnsi="Sylfaen" w:cstheme="minorHAnsi"/>
                <w:b/>
                <w:bCs/>
                <w:noProof/>
                <w:lang w:val="ka-GE"/>
              </w:rPr>
            </w:pPr>
            <w:r w:rsidRPr="00E51040">
              <w:rPr>
                <w:rFonts w:ascii="Sylfaen" w:hAnsi="Sylfaen" w:cstheme="minorHAnsi"/>
                <w:b/>
                <w:bCs/>
                <w:noProof/>
                <w:lang w:val="ka-GE"/>
              </w:rPr>
              <w:t>გათვალისწინებულია</w:t>
            </w:r>
          </w:p>
          <w:p w:rsidR="001B6069" w:rsidRPr="00A822B0" w:rsidRDefault="00E51040" w:rsidP="004B2C5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აღნიშნულ</w:t>
            </w:r>
            <w:r w:rsidR="004B2C52">
              <w:rPr>
                <w:rFonts w:ascii="Sylfaen" w:hAnsi="Sylfaen" w:cstheme="minorHAnsi"/>
                <w:bCs/>
                <w:noProof/>
                <w:lang w:val="ka-GE"/>
              </w:rPr>
              <w:t xml:space="preserve"> </w:t>
            </w:r>
            <w:r>
              <w:rPr>
                <w:rFonts w:ascii="Sylfaen" w:hAnsi="Sylfaen" w:cstheme="minorHAnsi"/>
                <w:bCs/>
                <w:noProof/>
                <w:lang w:val="ka-GE"/>
              </w:rPr>
              <w:t xml:space="preserve">საკანონმდებლო ინიციატივებთან დაკავშირებით დამატებითი კონსულტაციები იქნა გამართული შესაბამის მხარჯავ დაწესებულებებთან. გასათვალისწინებელია, რომ ახალი რეგულაციების ნაწილი ძალაში შედის ეტაპობრივად და შესაბამისად, მათი სრული ხარჯი არ იქნება საჭირო 2024 წელს. საკანონმდებლო </w:t>
            </w:r>
            <w:r w:rsidR="004B2C52">
              <w:rPr>
                <w:rFonts w:ascii="Sylfaen" w:hAnsi="Sylfaen" w:cstheme="minorHAnsi"/>
                <w:bCs/>
                <w:noProof/>
                <w:lang w:val="ka-GE"/>
              </w:rPr>
              <w:t>ც</w:t>
            </w:r>
            <w:r>
              <w:rPr>
                <w:rFonts w:ascii="Sylfaen" w:hAnsi="Sylfaen" w:cstheme="minorHAnsi"/>
                <w:bCs/>
                <w:noProof/>
                <w:lang w:val="ka-GE"/>
              </w:rPr>
              <w:t>ვლილებები</w:t>
            </w:r>
            <w:r w:rsidR="004B2C52">
              <w:rPr>
                <w:rFonts w:ascii="Sylfaen" w:hAnsi="Sylfaen" w:cstheme="minorHAnsi"/>
                <w:bCs/>
                <w:noProof/>
                <w:lang w:val="ka-GE"/>
              </w:rPr>
              <w:t>თ</w:t>
            </w:r>
            <w:r>
              <w:rPr>
                <w:rFonts w:ascii="Sylfaen" w:hAnsi="Sylfaen" w:cstheme="minorHAnsi"/>
                <w:bCs/>
                <w:noProof/>
                <w:lang w:val="ka-GE"/>
              </w:rPr>
              <w:t xml:space="preserve"> გამოწვეული დამატებითი ხარჯები 2024 წლის განმავლობაში დაფინანსდება შესაბამისი მხარჯავი დაწესებულებებისთვის დამტკიცებული ასიგნებების ფარგლებში.</w:t>
            </w:r>
          </w:p>
        </w:tc>
      </w:tr>
      <w:tr w:rsidR="00C64D86" w:rsidRPr="00A822B0" w:rsidTr="00DE2F3B">
        <w:tc>
          <w:tcPr>
            <w:tcW w:w="169" w:type="pct"/>
            <w:vAlign w:val="center"/>
          </w:tcPr>
          <w:p w:rsidR="00C64D86" w:rsidRPr="00A822B0" w:rsidRDefault="00C64D86"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3</w:t>
            </w:r>
          </w:p>
        </w:tc>
        <w:tc>
          <w:tcPr>
            <w:tcW w:w="2356" w:type="pct"/>
          </w:tcPr>
          <w:p w:rsidR="00A822B0" w:rsidRPr="00DE2F3B" w:rsidRDefault="00DE2F3B" w:rsidP="00DE2F3B">
            <w:pPr>
              <w:tabs>
                <w:tab w:val="left" w:pos="0"/>
              </w:tabs>
              <w:spacing w:line="276" w:lineRule="auto"/>
              <w:jc w:val="both"/>
              <w:rPr>
                <w:rFonts w:ascii="Sylfaen" w:hAnsi="Sylfaen" w:cstheme="minorHAnsi"/>
                <w:b/>
                <w:bCs/>
                <w:noProof/>
                <w:lang w:val="ka-GE"/>
              </w:rPr>
            </w:pPr>
            <w:r w:rsidRPr="00A822B0">
              <w:rPr>
                <w:rFonts w:ascii="Sylfaen" w:hAnsi="Sylfaen" w:cstheme="minorHAnsi"/>
                <w:bCs/>
                <w:noProof/>
              </w:rPr>
              <w:t xml:space="preserve">მოქმედი კანონმდებლობის შესაბამისად, </w:t>
            </w:r>
            <w:r w:rsidRPr="00A33267">
              <w:rPr>
                <w:rFonts w:ascii="Sylfaen" w:hAnsi="Sylfaen" w:cstheme="minorHAnsi"/>
                <w:b/>
                <w:bCs/>
                <w:noProof/>
              </w:rPr>
              <w:t>საქართველოს პარლამენტის და მის დაქვემდებარებაში არსებული ჰერალდიკის სახელმწიფო საბჭოს, საქართველოს ეროვნული ბიბლიოთეკისა და კვლევითი ცენტრის, ასევე, სახელმწიფო აუდიტის სამსახურისა და ცენტრალური საარჩევნო კომისიის ბიუჯეტის პროექტების საქართველოს პარლამენტის მიერ განსაზღვრისას გათვალისწინებული არ იყო საჯარო სამსახურში ხელფასის 10% ით ზრდა. ხელფასის 10%-იანი მატება უნდა განხორციელდეს ამ ორგანიზაციებშიც და მოხდეს ბიუჯეტში ასახვა</w:t>
            </w:r>
            <w:r>
              <w:rPr>
                <w:rFonts w:ascii="Sylfaen" w:hAnsi="Sylfaen" w:cstheme="minorHAnsi"/>
                <w:b/>
                <w:bCs/>
                <w:noProof/>
                <w:lang w:val="ka-GE"/>
              </w:rPr>
              <w:t xml:space="preserve">. </w:t>
            </w:r>
            <w:r w:rsidRPr="00A822B0">
              <w:rPr>
                <w:rFonts w:ascii="Sylfaen" w:hAnsi="Sylfaen" w:cstheme="minorHAnsi"/>
                <w:bCs/>
                <w:noProof/>
              </w:rPr>
              <w:t>ამასთან, არჩევნების ელექტრონული საშუალებების გამოყენებით</w:t>
            </w:r>
            <w:r>
              <w:rPr>
                <w:rFonts w:ascii="Sylfaen" w:hAnsi="Sylfaen" w:cstheme="minorHAnsi"/>
                <w:bCs/>
                <w:noProof/>
                <w:lang w:val="ka-GE"/>
              </w:rPr>
              <w:t xml:space="preserve"> </w:t>
            </w:r>
            <w:r w:rsidRPr="00A822B0">
              <w:rPr>
                <w:rFonts w:ascii="Sylfaen" w:hAnsi="Sylfaen" w:cstheme="minorHAnsi"/>
                <w:bCs/>
                <w:noProof/>
              </w:rPr>
              <w:t xml:space="preserve">ჩატარებასთან დაკავშირებით გამოვლინდა დამატებითი თანხის საჭიროება. მთლიანობაში საქართველოს ცენტრალური საარჩევნო კომისიის 2024 წლის ბიუჯეტში დამატებით გასათვალისწინებელია 27 516.0 ათასი ლარი, საიდანაც 4 707 ათასი ლარი მიიმართება შრომის ანაზღაურების მატებაზე, ხოლო 22 809 </w:t>
            </w:r>
            <w:r>
              <w:rPr>
                <w:rFonts w:ascii="Sylfaen" w:hAnsi="Sylfaen" w:cstheme="minorHAnsi"/>
                <w:bCs/>
                <w:noProof/>
                <w:lang w:val="ka-GE"/>
              </w:rPr>
              <w:t>ა</w:t>
            </w:r>
            <w:r w:rsidRPr="00A822B0">
              <w:rPr>
                <w:rFonts w:ascii="Sylfaen" w:hAnsi="Sylfaen" w:cstheme="minorHAnsi"/>
                <w:bCs/>
                <w:noProof/>
              </w:rPr>
              <w:t>თასი ლარი არჩევნების ელექტრონული საშუალებების გამოყენებასთან დაკავშირებული ხარჯებია; (აღნიშნული ორგანიზაციების შესახებ დეტალური ინფორმაცია დანართების სახით დასკვნას თან ერთვის)</w:t>
            </w:r>
            <w:r>
              <w:rPr>
                <w:rFonts w:ascii="Sylfaen" w:hAnsi="Sylfaen" w:cstheme="minorHAnsi"/>
                <w:bCs/>
                <w:noProof/>
                <w:lang w:val="ka-GE"/>
              </w:rPr>
              <w:t>.</w:t>
            </w:r>
          </w:p>
        </w:tc>
        <w:tc>
          <w:tcPr>
            <w:tcW w:w="2475" w:type="pct"/>
          </w:tcPr>
          <w:p w:rsidR="00C64D86" w:rsidRDefault="00E93E73" w:rsidP="00847443">
            <w:pPr>
              <w:tabs>
                <w:tab w:val="left" w:pos="0"/>
              </w:tabs>
              <w:spacing w:line="276" w:lineRule="auto"/>
              <w:jc w:val="both"/>
              <w:rPr>
                <w:rFonts w:ascii="Sylfaen" w:hAnsi="Sylfaen" w:cstheme="minorHAnsi"/>
                <w:b/>
                <w:bCs/>
                <w:noProof/>
              </w:rPr>
            </w:pPr>
            <w:r>
              <w:rPr>
                <w:rFonts w:ascii="Sylfaen" w:hAnsi="Sylfaen" w:cstheme="minorHAnsi"/>
                <w:b/>
                <w:bCs/>
                <w:noProof/>
                <w:lang w:val="ka-GE"/>
              </w:rPr>
              <w:t>გათვალისწინებულია</w:t>
            </w:r>
            <w:r>
              <w:rPr>
                <w:rFonts w:ascii="Sylfaen" w:hAnsi="Sylfaen" w:cstheme="minorHAnsi"/>
                <w:b/>
                <w:bCs/>
                <w:noProof/>
              </w:rPr>
              <w:t xml:space="preserve"> </w:t>
            </w:r>
          </w:p>
          <w:p w:rsidR="00E51040" w:rsidRPr="00E51040" w:rsidRDefault="00E51040" w:rsidP="004B2C52">
            <w:pPr>
              <w:tabs>
                <w:tab w:val="left" w:pos="0"/>
              </w:tabs>
              <w:spacing w:line="276" w:lineRule="auto"/>
              <w:jc w:val="both"/>
              <w:rPr>
                <w:rFonts w:ascii="Sylfaen" w:hAnsi="Sylfaen" w:cstheme="minorHAnsi"/>
                <w:bCs/>
                <w:noProof/>
                <w:lang w:val="ka-GE"/>
              </w:rPr>
            </w:pPr>
            <w:r w:rsidRPr="00E51040">
              <w:rPr>
                <w:rFonts w:ascii="Sylfaen" w:hAnsi="Sylfaen" w:cstheme="minorHAnsi"/>
                <w:bCs/>
                <w:noProof/>
                <w:lang w:val="ka-GE"/>
              </w:rPr>
              <w:t>თით</w:t>
            </w:r>
            <w:r>
              <w:rPr>
                <w:rFonts w:ascii="Sylfaen" w:hAnsi="Sylfaen" w:cstheme="minorHAnsi"/>
                <w:bCs/>
                <w:noProof/>
                <w:lang w:val="ka-GE"/>
              </w:rPr>
              <w:t>ოეული უწყების შემ</w:t>
            </w:r>
            <w:r w:rsidR="004B2C52">
              <w:rPr>
                <w:rFonts w:ascii="Sylfaen" w:hAnsi="Sylfaen" w:cstheme="minorHAnsi"/>
                <w:bCs/>
                <w:noProof/>
                <w:lang w:val="ka-GE"/>
              </w:rPr>
              <w:t>თ</w:t>
            </w:r>
            <w:r>
              <w:rPr>
                <w:rFonts w:ascii="Sylfaen" w:hAnsi="Sylfaen" w:cstheme="minorHAnsi"/>
                <w:bCs/>
                <w:noProof/>
                <w:lang w:val="ka-GE"/>
              </w:rPr>
              <w:t>ხვევაში დამატებულია მათთან კონსულტაციების შედეგად გამოკვეთილი საჭირო ხარჯი.</w:t>
            </w:r>
          </w:p>
        </w:tc>
      </w:tr>
      <w:tr w:rsidR="00C64D86" w:rsidRPr="00A822B0" w:rsidTr="00DE2F3B">
        <w:tc>
          <w:tcPr>
            <w:tcW w:w="169" w:type="pct"/>
            <w:vAlign w:val="center"/>
          </w:tcPr>
          <w:p w:rsidR="00C64D86" w:rsidRPr="00A822B0" w:rsidRDefault="00C64D86"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4</w:t>
            </w:r>
          </w:p>
        </w:tc>
        <w:tc>
          <w:tcPr>
            <w:tcW w:w="2356" w:type="pct"/>
          </w:tcPr>
          <w:p w:rsidR="00C64D86" w:rsidRPr="00DE2F3B" w:rsidRDefault="00A822B0" w:rsidP="00A822B0">
            <w:pPr>
              <w:tabs>
                <w:tab w:val="left" w:pos="0"/>
              </w:tabs>
              <w:spacing w:line="276" w:lineRule="auto"/>
              <w:jc w:val="both"/>
              <w:rPr>
                <w:rFonts w:ascii="Sylfaen" w:hAnsi="Sylfaen" w:cstheme="minorHAnsi"/>
                <w:bCs/>
                <w:noProof/>
                <w:lang w:val="ka-GE"/>
              </w:rPr>
            </w:pPr>
            <w:r w:rsidRPr="00A822B0">
              <w:rPr>
                <w:rFonts w:ascii="Sylfaen" w:hAnsi="Sylfaen" w:cstheme="minorHAnsi"/>
                <w:bCs/>
                <w:noProof/>
              </w:rPr>
              <w:t xml:space="preserve">რეგიონებში სრულყოფილი ინფრასტრუქტურისა და მუნიციპალიტეტების გაძლიერების უზრუნველსაყოფად, კომიტეტს </w:t>
            </w:r>
            <w:r w:rsidRPr="00A33267">
              <w:rPr>
                <w:rFonts w:ascii="Sylfaen" w:hAnsi="Sylfaen" w:cstheme="minorHAnsi"/>
                <w:b/>
                <w:bCs/>
                <w:noProof/>
              </w:rPr>
              <w:t>მიზანშეწონილად მიაჩნია „საქართველოს რეგიონებში განსახორციელებელი პროექტების ფონდის“ ოდენობის გაზრდა. გასათვალისწინებელია, რომ აღნიშნული ფონდისთვის დამატებითი რესურსების გამოყოფას ითხოვს პრაქტიკულად ყველა მაჟორიტარი პარლამენტის წევრი და პარლამენტის კომიტეტები</w:t>
            </w:r>
            <w:r w:rsidR="00DE2F3B">
              <w:rPr>
                <w:rFonts w:ascii="Sylfaen" w:hAnsi="Sylfaen" w:cstheme="minorHAnsi"/>
                <w:b/>
                <w:bCs/>
                <w:noProof/>
                <w:lang w:val="ka-GE"/>
              </w:rPr>
              <w:t>.</w:t>
            </w:r>
          </w:p>
        </w:tc>
        <w:tc>
          <w:tcPr>
            <w:tcW w:w="2475" w:type="pct"/>
          </w:tcPr>
          <w:p w:rsidR="00C64D86" w:rsidRPr="00683C42" w:rsidRDefault="00E51040" w:rsidP="003D08BF">
            <w:pPr>
              <w:tabs>
                <w:tab w:val="left" w:pos="0"/>
              </w:tabs>
              <w:spacing w:line="276" w:lineRule="auto"/>
              <w:jc w:val="both"/>
              <w:rPr>
                <w:rFonts w:ascii="Sylfaen" w:hAnsi="Sylfaen" w:cstheme="minorHAnsi"/>
                <w:b/>
                <w:bCs/>
                <w:noProof/>
                <w:lang w:val="ka-GE"/>
              </w:rPr>
            </w:pPr>
            <w:r w:rsidRPr="00683C42">
              <w:rPr>
                <w:rFonts w:ascii="Sylfaen" w:hAnsi="Sylfaen" w:cstheme="minorHAnsi"/>
                <w:b/>
                <w:bCs/>
                <w:noProof/>
                <w:lang w:val="ka-GE"/>
              </w:rPr>
              <w:t>გათვალისწინებულია</w:t>
            </w:r>
          </w:p>
          <w:p w:rsidR="00683C42" w:rsidRPr="00A822B0" w:rsidRDefault="00683C42" w:rsidP="003D08B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ბიუჯეტის გადამუშავებულ ვარიანტში </w:t>
            </w:r>
            <w:r w:rsidR="00E51040">
              <w:rPr>
                <w:rFonts w:ascii="Sylfaen" w:hAnsi="Sylfaen" w:cstheme="minorHAnsi"/>
                <w:bCs/>
                <w:noProof/>
                <w:lang w:val="ka-GE"/>
              </w:rPr>
              <w:t>საქართველოს რეგიონებში</w:t>
            </w:r>
            <w:r>
              <w:rPr>
                <w:rFonts w:ascii="Sylfaen" w:hAnsi="Sylfaen" w:cstheme="minorHAnsi"/>
                <w:bCs/>
                <w:noProof/>
                <w:lang w:val="ka-GE"/>
              </w:rPr>
              <w:t xml:space="preserve"> განსახორციელებელი პროექტების ფონდის მოცულობა გაზრდილია 50,0 მლნ ლარით.</w:t>
            </w:r>
          </w:p>
        </w:tc>
      </w:tr>
      <w:tr w:rsidR="00C64D86" w:rsidRPr="00A822B0" w:rsidTr="00DE2F3B">
        <w:tc>
          <w:tcPr>
            <w:tcW w:w="169" w:type="pct"/>
            <w:vAlign w:val="center"/>
          </w:tcPr>
          <w:p w:rsidR="00C64D86" w:rsidRPr="00A822B0" w:rsidRDefault="00726434"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5</w:t>
            </w:r>
          </w:p>
        </w:tc>
        <w:tc>
          <w:tcPr>
            <w:tcW w:w="2356" w:type="pct"/>
          </w:tcPr>
          <w:p w:rsidR="00C64D86" w:rsidRPr="00DE2F3B" w:rsidRDefault="00A822B0" w:rsidP="00A822B0">
            <w:pPr>
              <w:tabs>
                <w:tab w:val="left" w:pos="0"/>
              </w:tabs>
              <w:spacing w:line="276" w:lineRule="auto"/>
              <w:jc w:val="both"/>
              <w:rPr>
                <w:rFonts w:ascii="Sylfaen" w:hAnsi="Sylfaen" w:cstheme="minorHAnsi"/>
                <w:bCs/>
                <w:noProof/>
                <w:lang w:val="ka-GE"/>
              </w:rPr>
            </w:pPr>
            <w:r w:rsidRPr="00A822B0">
              <w:rPr>
                <w:rFonts w:ascii="Sylfaen" w:hAnsi="Sylfaen" w:cstheme="minorHAnsi"/>
                <w:bCs/>
                <w:noProof/>
              </w:rPr>
              <w:t xml:space="preserve">მნიშვნელოვანია, რომ </w:t>
            </w:r>
            <w:r w:rsidRPr="00A33267">
              <w:rPr>
                <w:rFonts w:ascii="Sylfaen" w:hAnsi="Sylfaen" w:cstheme="minorHAnsi"/>
                <w:b/>
                <w:bCs/>
                <w:noProof/>
              </w:rPr>
              <w:t>გათვალისწინებული იქნეს თანხები საქართველოს სხვადასხვა რეგიონში გაზიფიცირებისა და მოსახლეობისთვის გაზის მიწოდების ხელმისაწვდომობის უზრუნველყოფად</w:t>
            </w:r>
            <w:r w:rsidR="00DE2F3B">
              <w:rPr>
                <w:rFonts w:ascii="Sylfaen" w:hAnsi="Sylfaen" w:cstheme="minorHAnsi"/>
                <w:b/>
                <w:bCs/>
                <w:noProof/>
                <w:lang w:val="ka-GE"/>
              </w:rPr>
              <w:t>.</w:t>
            </w:r>
          </w:p>
        </w:tc>
        <w:tc>
          <w:tcPr>
            <w:tcW w:w="2475" w:type="pct"/>
          </w:tcPr>
          <w:p w:rsidR="00C64D86" w:rsidRPr="00683C42" w:rsidRDefault="00683C42" w:rsidP="003D08BF">
            <w:pPr>
              <w:tabs>
                <w:tab w:val="left" w:pos="0"/>
              </w:tabs>
              <w:spacing w:line="276" w:lineRule="auto"/>
              <w:jc w:val="both"/>
              <w:rPr>
                <w:rFonts w:ascii="Sylfaen" w:hAnsi="Sylfaen" w:cstheme="minorHAnsi"/>
                <w:b/>
                <w:bCs/>
                <w:noProof/>
                <w:lang w:val="ka-GE"/>
              </w:rPr>
            </w:pPr>
            <w:r w:rsidRPr="00683C42">
              <w:rPr>
                <w:rFonts w:ascii="Sylfaen" w:hAnsi="Sylfaen" w:cstheme="minorHAnsi"/>
                <w:b/>
                <w:bCs/>
                <w:noProof/>
                <w:lang w:val="ka-GE"/>
              </w:rPr>
              <w:t>გათვალისწინებულია</w:t>
            </w:r>
          </w:p>
          <w:p w:rsidR="00683C42" w:rsidRPr="00A822B0" w:rsidRDefault="00683C42" w:rsidP="003D08B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საქართველოს მთავრობის განკარგულებების შესაბამისად დაგეგმილი გაზიფიცირების სამუშაოები დაფინანსდება გაზის ტრანსპორტირების კომპანიაში აკუმულირებული სახსრებით.</w:t>
            </w:r>
          </w:p>
        </w:tc>
      </w:tr>
      <w:tr w:rsidR="00C64D86" w:rsidRPr="00A822B0" w:rsidTr="00DE2F3B">
        <w:tc>
          <w:tcPr>
            <w:tcW w:w="169" w:type="pct"/>
            <w:vAlign w:val="center"/>
          </w:tcPr>
          <w:p w:rsidR="00C64D86" w:rsidRPr="00A822B0" w:rsidRDefault="00807BBE"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6</w:t>
            </w:r>
          </w:p>
        </w:tc>
        <w:tc>
          <w:tcPr>
            <w:tcW w:w="2356" w:type="pct"/>
          </w:tcPr>
          <w:p w:rsidR="00A822B0" w:rsidRPr="00A822B0" w:rsidRDefault="00A822B0" w:rsidP="00A822B0">
            <w:pPr>
              <w:tabs>
                <w:tab w:val="left" w:pos="0"/>
              </w:tabs>
              <w:spacing w:line="276" w:lineRule="auto"/>
              <w:jc w:val="both"/>
              <w:rPr>
                <w:rFonts w:ascii="Sylfaen" w:hAnsi="Sylfaen" w:cstheme="minorHAnsi"/>
                <w:bCs/>
                <w:noProof/>
              </w:rPr>
            </w:pPr>
            <w:r w:rsidRPr="00A822B0">
              <w:rPr>
                <w:rFonts w:ascii="Sylfaen" w:hAnsi="Sylfaen" w:cstheme="minorHAnsi"/>
                <w:bCs/>
                <w:noProof/>
              </w:rPr>
              <w:t xml:space="preserve">მიმდინარე წლის იანვრიდან გაზრდილია </w:t>
            </w:r>
            <w:r w:rsidRPr="00A33267">
              <w:rPr>
                <w:rFonts w:ascii="Sylfaen" w:hAnsi="Sylfaen" w:cstheme="minorHAnsi"/>
                <w:b/>
                <w:bCs/>
                <w:noProof/>
              </w:rPr>
              <w:t>ვეტერანთა სოციალური</w:t>
            </w:r>
            <w:r w:rsidR="00DE2F3B">
              <w:rPr>
                <w:rFonts w:ascii="Sylfaen" w:hAnsi="Sylfaen" w:cstheme="minorHAnsi"/>
                <w:b/>
                <w:bCs/>
                <w:noProof/>
                <w:lang w:val="ka-GE"/>
              </w:rPr>
              <w:t xml:space="preserve"> </w:t>
            </w:r>
            <w:r w:rsidRPr="00A33267">
              <w:rPr>
                <w:rFonts w:ascii="Sylfaen" w:hAnsi="Sylfaen" w:cstheme="minorHAnsi"/>
                <w:b/>
                <w:bCs/>
                <w:noProof/>
              </w:rPr>
              <w:t>გასაცემლის ოდენობა, თუმცა მათი მატერიალურ-სოციალური</w:t>
            </w:r>
            <w:r w:rsidR="00DE2F3B">
              <w:rPr>
                <w:rFonts w:ascii="Sylfaen" w:hAnsi="Sylfaen" w:cstheme="minorHAnsi"/>
                <w:b/>
                <w:bCs/>
                <w:noProof/>
                <w:lang w:val="ka-GE"/>
              </w:rPr>
              <w:t xml:space="preserve"> </w:t>
            </w:r>
            <w:r w:rsidRPr="00A33267">
              <w:rPr>
                <w:rFonts w:ascii="Sylfaen" w:hAnsi="Sylfaen" w:cstheme="minorHAnsi"/>
                <w:b/>
                <w:bCs/>
                <w:noProof/>
              </w:rPr>
              <w:t>მდგომარეობის გათვალისწინებით კომიტეტს</w:t>
            </w:r>
            <w:r w:rsidR="00DE2F3B">
              <w:rPr>
                <w:rFonts w:ascii="Sylfaen" w:hAnsi="Sylfaen" w:cstheme="minorHAnsi"/>
                <w:b/>
                <w:bCs/>
                <w:noProof/>
                <w:lang w:val="ka-GE"/>
              </w:rPr>
              <w:t xml:space="preserve"> </w:t>
            </w:r>
            <w:r w:rsidRPr="00A33267">
              <w:rPr>
                <w:rFonts w:ascii="Sylfaen" w:hAnsi="Sylfaen" w:cstheme="minorHAnsi"/>
                <w:b/>
                <w:bCs/>
                <w:noProof/>
              </w:rPr>
              <w:t>მიზანშეწონილად მიაჩნია აღნიშნული გასაცემლის ოდენობის გაზრდა.</w:t>
            </w:r>
          </w:p>
          <w:p w:rsidR="00C64D86" w:rsidRPr="00DE2F3B" w:rsidRDefault="00A822B0" w:rsidP="00DE2F3B">
            <w:pPr>
              <w:tabs>
                <w:tab w:val="left" w:pos="0"/>
              </w:tabs>
              <w:spacing w:line="276" w:lineRule="auto"/>
              <w:jc w:val="both"/>
              <w:rPr>
                <w:rFonts w:ascii="Sylfaen" w:hAnsi="Sylfaen" w:cstheme="minorHAnsi"/>
                <w:bCs/>
                <w:noProof/>
                <w:lang w:val="ka-GE"/>
              </w:rPr>
            </w:pPr>
            <w:r w:rsidRPr="00A822B0">
              <w:rPr>
                <w:rFonts w:ascii="Sylfaen" w:hAnsi="Sylfaen" w:cstheme="minorHAnsi"/>
                <w:bCs/>
                <w:noProof/>
              </w:rPr>
              <w:t>ამასთან, სსიპ - ვეტერანების საქმეთა სახელმწიფო სამსახურს ვეტერანთა მატერიალურ-სოციალური მდგომარეობის გაუმჯობესების მიზნით წარმოდგენილი აქვს ღონისძიებების გეგმა, რომლის დასაფინანსებლად მათი შეფასებით საჭიროა დამატებით 3.5 მლნ ლარი. წარმოდგენილი გეგმა ეხება საკადრო პოლიტიკის გაუმჯობესებას, ვეტერანთა სამეწარმეო საქმიანობაში</w:t>
            </w:r>
            <w:r w:rsidR="00DE2F3B">
              <w:rPr>
                <w:rFonts w:ascii="Sylfaen" w:hAnsi="Sylfaen" w:cstheme="minorHAnsi"/>
                <w:bCs/>
                <w:noProof/>
                <w:lang w:val="ka-GE"/>
              </w:rPr>
              <w:t xml:space="preserve"> </w:t>
            </w:r>
            <w:r w:rsidRPr="00A822B0">
              <w:rPr>
                <w:rFonts w:ascii="Sylfaen" w:hAnsi="Sylfaen" w:cstheme="minorHAnsi"/>
                <w:bCs/>
                <w:noProof/>
              </w:rPr>
              <w:t>ჩართვის ხელშეწყობას, სოციალურად შეჭირვებული ვეტერანების</w:t>
            </w:r>
            <w:r w:rsidR="00DE2F3B">
              <w:rPr>
                <w:rFonts w:ascii="Sylfaen" w:hAnsi="Sylfaen" w:cstheme="minorHAnsi"/>
                <w:bCs/>
                <w:noProof/>
                <w:lang w:val="ka-GE"/>
              </w:rPr>
              <w:t xml:space="preserve"> </w:t>
            </w:r>
            <w:r w:rsidRPr="00A822B0">
              <w:rPr>
                <w:rFonts w:ascii="Sylfaen" w:hAnsi="Sylfaen" w:cstheme="minorHAnsi"/>
                <w:bCs/>
                <w:noProof/>
              </w:rPr>
              <w:t>საცხოვრებელი პირობების გაუმჯობესებას, ჯანმრთელობისა და სოციალური საკითხების მოგვარებას. მიზანშეწონილია ვეტერანების საქმეთა სახელმწიფო სამსახურთან კონსულტაციები, რათა შესაძლებლობის ფარგლებში მაქსიმალურად მოხდეს აღნიშნული საკითხების გათვალისწინება</w:t>
            </w:r>
            <w:r w:rsidR="00DE2F3B">
              <w:rPr>
                <w:rFonts w:ascii="Sylfaen" w:hAnsi="Sylfaen" w:cstheme="minorHAnsi"/>
                <w:bCs/>
                <w:noProof/>
                <w:lang w:val="ka-GE"/>
              </w:rPr>
              <w:t>.</w:t>
            </w:r>
          </w:p>
        </w:tc>
        <w:tc>
          <w:tcPr>
            <w:tcW w:w="2475" w:type="pct"/>
          </w:tcPr>
          <w:p w:rsidR="00C64D86" w:rsidRDefault="00683C42" w:rsidP="003D08BF">
            <w:pPr>
              <w:tabs>
                <w:tab w:val="left" w:pos="0"/>
              </w:tabs>
              <w:spacing w:line="276" w:lineRule="auto"/>
              <w:jc w:val="both"/>
              <w:rPr>
                <w:rFonts w:ascii="Sylfaen" w:hAnsi="Sylfaen" w:cstheme="minorHAnsi"/>
                <w:b/>
                <w:bCs/>
                <w:noProof/>
                <w:lang w:val="ka-GE"/>
              </w:rPr>
            </w:pPr>
            <w:r w:rsidRPr="00683C42">
              <w:rPr>
                <w:rFonts w:ascii="Sylfaen" w:hAnsi="Sylfaen" w:cstheme="minorHAnsi"/>
                <w:b/>
                <w:bCs/>
                <w:noProof/>
                <w:lang w:val="ka-GE"/>
              </w:rPr>
              <w:t>გათვალისწინებულია ნაწილობრივ</w:t>
            </w:r>
          </w:p>
          <w:p w:rsidR="00683C42" w:rsidRDefault="00683C42" w:rsidP="003D08BF">
            <w:pPr>
              <w:tabs>
                <w:tab w:val="left" w:pos="0"/>
              </w:tabs>
              <w:spacing w:line="276" w:lineRule="auto"/>
              <w:jc w:val="both"/>
              <w:rPr>
                <w:rFonts w:ascii="Sylfaen" w:hAnsi="Sylfaen" w:cstheme="minorHAnsi"/>
                <w:b/>
                <w:bCs/>
                <w:noProof/>
                <w:lang w:val="ka-GE"/>
              </w:rPr>
            </w:pPr>
          </w:p>
          <w:p w:rsidR="00683C42" w:rsidRDefault="00683C42" w:rsidP="003D08B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სსიპ - ვეტერანთა საქმეების დეპარტამენტის დაფინანსება გაზრდილია 1,0 მლნ ლარით.</w:t>
            </w:r>
          </w:p>
          <w:p w:rsidR="00683C42" w:rsidRDefault="00683C42" w:rsidP="003D08BF">
            <w:pPr>
              <w:tabs>
                <w:tab w:val="left" w:pos="0"/>
              </w:tabs>
              <w:spacing w:line="276" w:lineRule="auto"/>
              <w:jc w:val="both"/>
              <w:rPr>
                <w:rFonts w:ascii="Sylfaen" w:hAnsi="Sylfaen" w:cstheme="minorHAnsi"/>
                <w:bCs/>
                <w:noProof/>
                <w:lang w:val="ka-GE"/>
              </w:rPr>
            </w:pPr>
          </w:p>
          <w:p w:rsidR="00683C42" w:rsidRDefault="00683C42" w:rsidP="003D08B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რაც შეეხება ვეტერანთა ყოველთვიური გასაცემლის ზრდას, ამ ეტაპზე გათვალისწინებული არ არის, თუმცა ბიუჯეტის საბოლოო ვარიანტის წარმოდგენამდე დამატებით განხორციელდება აღნიშნული საკითხის განხილვა.</w:t>
            </w:r>
          </w:p>
          <w:p w:rsidR="00683C42" w:rsidRPr="00683C42" w:rsidRDefault="00683C42" w:rsidP="003D08BF">
            <w:pPr>
              <w:tabs>
                <w:tab w:val="left" w:pos="0"/>
              </w:tabs>
              <w:spacing w:line="276" w:lineRule="auto"/>
              <w:jc w:val="both"/>
              <w:rPr>
                <w:rFonts w:ascii="Sylfaen" w:hAnsi="Sylfaen" w:cstheme="minorHAnsi"/>
                <w:bCs/>
                <w:noProof/>
                <w:lang w:val="ka-GE"/>
              </w:rPr>
            </w:pP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rPr>
            </w:pPr>
            <w:r w:rsidRPr="00A822B0">
              <w:rPr>
                <w:rFonts w:ascii="Sylfaen" w:hAnsi="Sylfaen" w:cstheme="minorHAnsi"/>
                <w:bCs/>
                <w:noProof/>
              </w:rPr>
              <w:t>7</w:t>
            </w:r>
          </w:p>
        </w:tc>
        <w:tc>
          <w:tcPr>
            <w:tcW w:w="2356" w:type="pct"/>
          </w:tcPr>
          <w:p w:rsidR="00586E8B" w:rsidRPr="00A822B0" w:rsidRDefault="00A822B0" w:rsidP="00A822B0">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საქართველოს კანონმდებლობით 2021 წლიდან მოქმედებს პენსიის</w:t>
            </w:r>
            <w:r w:rsidRPr="00A822B0">
              <w:rPr>
                <w:rFonts w:ascii="Sylfaen" w:hAnsi="Sylfaen" w:cstheme="minorHAnsi"/>
                <w:bCs/>
                <w:noProof/>
              </w:rPr>
              <w:t xml:space="preserve"> </w:t>
            </w:r>
            <w:r w:rsidRPr="00A822B0">
              <w:rPr>
                <w:rFonts w:ascii="Sylfaen" w:hAnsi="Sylfaen" w:cstheme="minorHAnsi"/>
                <w:bCs/>
                <w:noProof/>
                <w:lang w:val="ka-GE"/>
              </w:rPr>
              <w:t>ზრდის ინდექსაციის წესი, რომლის შესაბამისად ეკონომიკურ პარამეტრებზე</w:t>
            </w:r>
            <w:r w:rsidRPr="00A822B0">
              <w:rPr>
                <w:rFonts w:ascii="Sylfaen" w:hAnsi="Sylfaen" w:cstheme="minorHAnsi"/>
                <w:bCs/>
                <w:noProof/>
              </w:rPr>
              <w:t xml:space="preserve"> </w:t>
            </w:r>
            <w:r w:rsidRPr="00A822B0">
              <w:rPr>
                <w:rFonts w:ascii="Sylfaen" w:hAnsi="Sylfaen" w:cstheme="minorHAnsi"/>
                <w:bCs/>
                <w:noProof/>
                <w:lang w:val="ka-GE"/>
              </w:rPr>
              <w:t>(ეკონომიკური ზრდა და ინფლაცია) დაყრდნობით ყოველწლიურად ხდება</w:t>
            </w:r>
            <w:r w:rsidRPr="00A822B0">
              <w:rPr>
                <w:rFonts w:ascii="Sylfaen" w:hAnsi="Sylfaen" w:cstheme="minorHAnsi"/>
                <w:bCs/>
                <w:noProof/>
              </w:rPr>
              <w:t xml:space="preserve"> </w:t>
            </w:r>
            <w:r w:rsidRPr="00A822B0">
              <w:rPr>
                <w:rFonts w:ascii="Sylfaen" w:hAnsi="Sylfaen" w:cstheme="minorHAnsi"/>
                <w:bCs/>
                <w:noProof/>
                <w:lang w:val="ka-GE"/>
              </w:rPr>
              <w:t>პენსიის გადაანგარიშება და მატება. კომიტეტს მიზანშეწონილად მიაჩნია, რომ</w:t>
            </w:r>
            <w:r w:rsidRPr="00A822B0">
              <w:rPr>
                <w:rFonts w:ascii="Sylfaen" w:hAnsi="Sylfaen" w:cstheme="minorHAnsi"/>
                <w:bCs/>
                <w:noProof/>
              </w:rPr>
              <w:t xml:space="preserve"> </w:t>
            </w:r>
            <w:r w:rsidRPr="00A33267">
              <w:rPr>
                <w:rFonts w:ascii="Sylfaen" w:hAnsi="Sylfaen" w:cstheme="minorHAnsi"/>
                <w:b/>
                <w:bCs/>
                <w:noProof/>
                <w:lang w:val="ka-GE"/>
              </w:rPr>
              <w:t>იგივე მეთოდოლოგიით (ინდექსაციის წესით) მოხდეს პენსიის/კომპენსაციის</w:t>
            </w:r>
            <w:r w:rsidRPr="00A33267">
              <w:rPr>
                <w:rFonts w:ascii="Sylfaen" w:hAnsi="Sylfaen" w:cstheme="minorHAnsi"/>
                <w:b/>
                <w:bCs/>
                <w:noProof/>
              </w:rPr>
              <w:t xml:space="preserve"> </w:t>
            </w:r>
            <w:r w:rsidRPr="00A33267">
              <w:rPr>
                <w:rFonts w:ascii="Sylfaen" w:hAnsi="Sylfaen" w:cstheme="minorHAnsi"/>
                <w:b/>
                <w:bCs/>
                <w:noProof/>
                <w:lang w:val="ka-GE"/>
              </w:rPr>
              <w:t>გაანგარიშება პენსიონერების იმ ნაწილისთვის, რომელთა კომპენსაციის</w:t>
            </w:r>
            <w:r w:rsidRPr="00A33267">
              <w:rPr>
                <w:rFonts w:ascii="Sylfaen" w:hAnsi="Sylfaen" w:cstheme="minorHAnsi"/>
                <w:b/>
                <w:bCs/>
                <w:noProof/>
              </w:rPr>
              <w:t xml:space="preserve"> </w:t>
            </w:r>
            <w:r w:rsidRPr="00A33267">
              <w:rPr>
                <w:rFonts w:ascii="Sylfaen" w:hAnsi="Sylfaen" w:cstheme="minorHAnsi"/>
                <w:b/>
                <w:bCs/>
                <w:noProof/>
                <w:lang w:val="ka-GE"/>
              </w:rPr>
              <w:t>მაქსიმალური ზღვარი კანონით განისაზღვრა 2005 წელს (560 ლარი) და მას</w:t>
            </w:r>
            <w:r w:rsidRPr="00A33267">
              <w:rPr>
                <w:rFonts w:ascii="Sylfaen" w:hAnsi="Sylfaen" w:cstheme="minorHAnsi"/>
                <w:b/>
                <w:bCs/>
                <w:noProof/>
              </w:rPr>
              <w:t xml:space="preserve"> </w:t>
            </w:r>
            <w:r w:rsidRPr="00A33267">
              <w:rPr>
                <w:rFonts w:ascii="Sylfaen" w:hAnsi="Sylfaen" w:cstheme="minorHAnsi"/>
                <w:b/>
                <w:bCs/>
                <w:noProof/>
                <w:lang w:val="ka-GE"/>
              </w:rPr>
              <w:t>შემდეგ არ შეცვლილა</w:t>
            </w:r>
            <w:r w:rsidR="00DE2F3B">
              <w:rPr>
                <w:rFonts w:ascii="Sylfaen" w:hAnsi="Sylfaen" w:cstheme="minorHAnsi"/>
                <w:b/>
                <w:bCs/>
                <w:noProof/>
                <w:lang w:val="ka-GE"/>
              </w:rPr>
              <w:t>.</w:t>
            </w:r>
          </w:p>
        </w:tc>
        <w:tc>
          <w:tcPr>
            <w:tcW w:w="2475" w:type="pct"/>
          </w:tcPr>
          <w:p w:rsidR="00586E8B" w:rsidRDefault="00683C42" w:rsidP="00B5347A">
            <w:pPr>
              <w:tabs>
                <w:tab w:val="left" w:pos="0"/>
              </w:tabs>
              <w:spacing w:line="276" w:lineRule="auto"/>
              <w:jc w:val="both"/>
              <w:rPr>
                <w:rFonts w:ascii="Sylfaen" w:hAnsi="Sylfaen" w:cstheme="minorHAnsi"/>
                <w:b/>
                <w:bCs/>
                <w:noProof/>
                <w:lang w:val="ka-GE"/>
              </w:rPr>
            </w:pPr>
            <w:r w:rsidRPr="00683C42">
              <w:rPr>
                <w:rFonts w:ascii="Sylfaen" w:hAnsi="Sylfaen" w:cstheme="minorHAnsi"/>
                <w:b/>
                <w:bCs/>
                <w:noProof/>
                <w:lang w:val="ka-GE"/>
              </w:rPr>
              <w:t>გათვალისწინებულია</w:t>
            </w:r>
          </w:p>
          <w:p w:rsidR="00683C42" w:rsidRPr="00683C42" w:rsidRDefault="00683C42" w:rsidP="00683C4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სახელმწიფო პენსიის მსგავსად ინდექსაციის პრინციპები უნდა დარეგულირდეს შესაბამისი კანონით, თუმცა ბიუჯეტის გადამუშავებული ვარიანტში ასახულია თანხები ერთის მხრივ 560 ლარიანი ზღვრის 1000 ლარამდე გაზრდისთვის, ასევე პოლიციელების და ჯარისკაცების (და მათ მსგავსად დაანგარიშებული კომპენსაციების) კომპენსაციების ფორმულაში, ნამსახურების თითოეულ წელზე გათვლილი თანხის საშუალოდ 20%-ით ზრდისთვის.</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rPr>
            </w:pPr>
            <w:r w:rsidRPr="00A822B0">
              <w:rPr>
                <w:rFonts w:ascii="Sylfaen" w:hAnsi="Sylfaen" w:cstheme="minorHAnsi"/>
                <w:bCs/>
                <w:noProof/>
              </w:rPr>
              <w:t>8</w:t>
            </w:r>
          </w:p>
        </w:tc>
        <w:tc>
          <w:tcPr>
            <w:tcW w:w="2356" w:type="pct"/>
          </w:tcPr>
          <w:p w:rsidR="00586E8B" w:rsidRPr="00DE2F3B" w:rsidRDefault="00A822B0" w:rsidP="00A822B0">
            <w:pPr>
              <w:tabs>
                <w:tab w:val="left" w:pos="0"/>
              </w:tabs>
              <w:spacing w:line="276" w:lineRule="auto"/>
              <w:jc w:val="both"/>
              <w:rPr>
                <w:rFonts w:ascii="Sylfaen" w:hAnsi="Sylfaen" w:cstheme="minorHAnsi"/>
                <w:bCs/>
                <w:noProof/>
                <w:lang w:val="ka-GE"/>
              </w:rPr>
            </w:pPr>
            <w:r w:rsidRPr="00A822B0">
              <w:rPr>
                <w:rFonts w:ascii="Sylfaen" w:hAnsi="Sylfaen" w:cstheme="minorHAnsi"/>
                <w:bCs/>
                <w:noProof/>
              </w:rPr>
              <w:t>საქართველოს კანონმდებლობით საქართველოს ტერიტორიული</w:t>
            </w:r>
            <w:r w:rsidR="00A33267">
              <w:rPr>
                <w:rFonts w:ascii="Sylfaen" w:hAnsi="Sylfaen" w:cstheme="minorHAnsi"/>
                <w:bCs/>
                <w:noProof/>
                <w:lang w:val="ka-GE"/>
              </w:rPr>
              <w:t xml:space="preserve"> </w:t>
            </w:r>
            <w:r w:rsidRPr="00A822B0">
              <w:rPr>
                <w:rFonts w:ascii="Sylfaen" w:hAnsi="Sylfaen" w:cstheme="minorHAnsi"/>
                <w:bCs/>
                <w:noProof/>
              </w:rPr>
              <w:t>მთლიანობისათვის, თავისუფლებისა და დამოუკიდებლობისათვის, ასევე, სამსახურებრივი მოვალეობის შესრულებისას დაღუპულთა ან მიღებული ჭრილობების შედეგად გარდაცვლილთა ოჯახის წევრებს ეძლევათ კომპენსაცია, რომელიც 2015 წლიდან შეადგენს 1</w:t>
            </w:r>
            <w:r w:rsidR="00DE2F3B">
              <w:rPr>
                <w:rFonts w:ascii="Sylfaen" w:hAnsi="Sylfaen" w:cstheme="minorHAnsi"/>
                <w:bCs/>
                <w:noProof/>
                <w:lang w:val="ka-GE"/>
              </w:rPr>
              <w:t xml:space="preserve"> </w:t>
            </w:r>
            <w:r w:rsidRPr="00A822B0">
              <w:rPr>
                <w:rFonts w:ascii="Sylfaen" w:hAnsi="Sylfaen" w:cstheme="minorHAnsi"/>
                <w:bCs/>
                <w:noProof/>
              </w:rPr>
              <w:t xml:space="preserve">000 ლარს. ამ წლების განმავლობაში აღნიშნული თანხა არ შეცვლილა, მიუხედავად იმისა, რომ მნიშვნელოვანად არის გაზრდილი ინფლაცია. მიზანშეწონილია, მოხდეს ამ </w:t>
            </w:r>
            <w:r w:rsidRPr="00A33267">
              <w:rPr>
                <w:rFonts w:ascii="Sylfaen" w:hAnsi="Sylfaen" w:cstheme="minorHAnsi"/>
                <w:b/>
                <w:bCs/>
                <w:noProof/>
              </w:rPr>
              <w:t>კომპენსაციის ოდენობის გადახედვა ზრდის მიმართულებით. აღნიშნული წინადადება ასახული იყო 2023 წლის სახელმწიფო ბიუჯეტის შესახებ კანონპროექტზე კომიტეტის დასკვნაში</w:t>
            </w:r>
            <w:r w:rsidR="00DE2F3B">
              <w:rPr>
                <w:rFonts w:ascii="Sylfaen" w:hAnsi="Sylfaen" w:cstheme="minorHAnsi"/>
                <w:b/>
                <w:bCs/>
                <w:noProof/>
                <w:lang w:val="ka-GE"/>
              </w:rPr>
              <w:t>.</w:t>
            </w:r>
          </w:p>
        </w:tc>
        <w:tc>
          <w:tcPr>
            <w:tcW w:w="2475" w:type="pct"/>
          </w:tcPr>
          <w:p w:rsidR="00683C42" w:rsidRDefault="00683C42" w:rsidP="00683C42">
            <w:pPr>
              <w:tabs>
                <w:tab w:val="left" w:pos="0"/>
              </w:tabs>
              <w:spacing w:line="276" w:lineRule="auto"/>
              <w:jc w:val="both"/>
              <w:rPr>
                <w:rFonts w:ascii="Sylfaen" w:hAnsi="Sylfaen" w:cstheme="minorHAnsi"/>
                <w:b/>
                <w:bCs/>
                <w:noProof/>
                <w:lang w:val="ka-GE"/>
              </w:rPr>
            </w:pPr>
            <w:r w:rsidRPr="00683C42">
              <w:rPr>
                <w:rFonts w:ascii="Sylfaen" w:hAnsi="Sylfaen" w:cstheme="minorHAnsi"/>
                <w:b/>
                <w:bCs/>
                <w:noProof/>
                <w:lang w:val="ka-GE"/>
              </w:rPr>
              <w:t>გათვალისწინებულია</w:t>
            </w:r>
          </w:p>
          <w:p w:rsidR="00586E8B" w:rsidRPr="00A822B0" w:rsidRDefault="00683C42" w:rsidP="004B2C5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ბიუჯეტის გადამუშავებულ ვარიანტში გათვალისწინებულია თანხა </w:t>
            </w:r>
            <w:r w:rsidR="00EB6F46">
              <w:rPr>
                <w:rFonts w:ascii="Sylfaen" w:hAnsi="Sylfaen" w:cstheme="minorHAnsi"/>
                <w:bCs/>
                <w:noProof/>
                <w:lang w:val="ka-GE"/>
              </w:rPr>
              <w:t>ა</w:t>
            </w:r>
            <w:r w:rsidR="004B2C52">
              <w:rPr>
                <w:rFonts w:ascii="Sylfaen" w:hAnsi="Sylfaen" w:cstheme="minorHAnsi"/>
                <w:bCs/>
                <w:noProof/>
                <w:lang w:val="ka-GE"/>
              </w:rPr>
              <w:t>ღ</w:t>
            </w:r>
            <w:r w:rsidR="00EB6F46">
              <w:rPr>
                <w:rFonts w:ascii="Sylfaen" w:hAnsi="Sylfaen" w:cstheme="minorHAnsi"/>
                <w:bCs/>
                <w:noProof/>
                <w:lang w:val="ka-GE"/>
              </w:rPr>
              <w:t>ნიშნული კომპენსაციის 1000 ლარიდან 1200 ლარამდე ზრდის დასაფინანსებლად.</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rPr>
            </w:pPr>
            <w:r w:rsidRPr="00A822B0">
              <w:rPr>
                <w:rFonts w:ascii="Sylfaen" w:hAnsi="Sylfaen" w:cstheme="minorHAnsi"/>
                <w:bCs/>
                <w:noProof/>
              </w:rPr>
              <w:t>9</w:t>
            </w:r>
          </w:p>
        </w:tc>
        <w:tc>
          <w:tcPr>
            <w:tcW w:w="2356" w:type="pct"/>
          </w:tcPr>
          <w:p w:rsidR="00586E8B" w:rsidRPr="00A822B0" w:rsidRDefault="00A822B0" w:rsidP="00A822B0">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გენდერული თანასწორობის კიდევ უფრო გაუმჯობესებისა და</w:t>
            </w:r>
            <w:r w:rsidRPr="00A822B0">
              <w:rPr>
                <w:rFonts w:ascii="Sylfaen" w:hAnsi="Sylfaen" w:cstheme="minorHAnsi"/>
                <w:bCs/>
                <w:noProof/>
              </w:rPr>
              <w:t xml:space="preserve"> </w:t>
            </w:r>
            <w:r w:rsidRPr="00A822B0">
              <w:rPr>
                <w:rFonts w:ascii="Sylfaen" w:hAnsi="Sylfaen" w:cstheme="minorHAnsi"/>
                <w:bCs/>
                <w:noProof/>
                <w:lang w:val="ka-GE"/>
              </w:rPr>
              <w:t xml:space="preserve">ხელშეწყობის მიზნით, მიზანშეწონილია </w:t>
            </w:r>
            <w:r w:rsidRPr="00A33267">
              <w:rPr>
                <w:rFonts w:ascii="Sylfaen" w:hAnsi="Sylfaen" w:cstheme="minorHAnsi"/>
                <w:b/>
                <w:bCs/>
                <w:noProof/>
                <w:lang w:val="ka-GE"/>
              </w:rPr>
              <w:t>გენდერული თემა მაქსიმალურად</w:t>
            </w:r>
            <w:r w:rsidRPr="00A33267">
              <w:rPr>
                <w:rFonts w:ascii="Sylfaen" w:hAnsi="Sylfaen" w:cstheme="minorHAnsi"/>
                <w:b/>
                <w:bCs/>
                <w:noProof/>
              </w:rPr>
              <w:t xml:space="preserve"> </w:t>
            </w:r>
            <w:r w:rsidRPr="00A33267">
              <w:rPr>
                <w:rFonts w:ascii="Sylfaen" w:hAnsi="Sylfaen" w:cstheme="minorHAnsi"/>
                <w:b/>
                <w:bCs/>
                <w:noProof/>
                <w:lang w:val="ka-GE"/>
              </w:rPr>
              <w:t>იყოს გათვალისწინებული შესაბამის საბიუჯეტო პროგრამებში</w:t>
            </w:r>
            <w:r w:rsidR="00DE2F3B">
              <w:rPr>
                <w:rFonts w:ascii="Sylfaen" w:hAnsi="Sylfaen" w:cstheme="minorHAnsi"/>
                <w:b/>
                <w:bCs/>
                <w:noProof/>
                <w:lang w:val="ka-GE"/>
              </w:rPr>
              <w:t>.</w:t>
            </w:r>
          </w:p>
        </w:tc>
        <w:tc>
          <w:tcPr>
            <w:tcW w:w="2475" w:type="pct"/>
          </w:tcPr>
          <w:p w:rsidR="00586E8B" w:rsidRPr="00EB6F46" w:rsidRDefault="00EB6F46" w:rsidP="00586E8B">
            <w:pPr>
              <w:tabs>
                <w:tab w:val="left" w:pos="0"/>
              </w:tabs>
              <w:spacing w:line="276" w:lineRule="auto"/>
              <w:jc w:val="both"/>
              <w:rPr>
                <w:rFonts w:ascii="Sylfaen" w:hAnsi="Sylfaen" w:cstheme="minorHAnsi"/>
                <w:b/>
                <w:bCs/>
                <w:noProof/>
                <w:lang w:val="ka-GE"/>
              </w:rPr>
            </w:pPr>
            <w:r w:rsidRPr="00EB6F46">
              <w:rPr>
                <w:rFonts w:ascii="Sylfaen" w:hAnsi="Sylfaen" w:cstheme="minorHAnsi"/>
                <w:b/>
                <w:bCs/>
                <w:noProof/>
                <w:lang w:val="ka-GE"/>
              </w:rPr>
              <w:t>გათვალისწინებულია ნაწილობრივ</w:t>
            </w:r>
          </w:p>
          <w:p w:rsidR="00EB6F46" w:rsidRPr="00A822B0" w:rsidRDefault="00EB6F46"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ამ ეტაპზე რთულია გამოიყოს თითოეული პროგრამის ფარგლებში გენდერული თანასწორობის კუთხით დაგეგმილი ღონისძიებები, თუმცა სამინისტროებს მიეცათ რეკომენდაცია ერთის მხრივ გაზარდონ მსგავსი მიმართულებით აქტივობები და მეორეს მხრივ ეს ატივობები ეტაპობრივად სრულყოფილად აისახოს პროგრამების აღწერებსა და შედეგებში, ასევე თითოეული სამინისტროს საშუალოვადიან სამოქმედო გეგმებში.</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rPr>
            </w:pPr>
            <w:r w:rsidRPr="00A822B0">
              <w:rPr>
                <w:rFonts w:ascii="Sylfaen" w:hAnsi="Sylfaen" w:cstheme="minorHAnsi"/>
                <w:bCs/>
                <w:noProof/>
              </w:rPr>
              <w:t>10</w:t>
            </w:r>
          </w:p>
        </w:tc>
        <w:tc>
          <w:tcPr>
            <w:tcW w:w="2356" w:type="pct"/>
          </w:tcPr>
          <w:p w:rsidR="00586E8B" w:rsidRPr="00A822B0" w:rsidRDefault="00A822B0" w:rsidP="00A822B0">
            <w:pPr>
              <w:tabs>
                <w:tab w:val="left" w:pos="0"/>
              </w:tabs>
              <w:spacing w:line="276" w:lineRule="auto"/>
              <w:jc w:val="both"/>
              <w:rPr>
                <w:rFonts w:ascii="Sylfaen" w:hAnsi="Sylfaen" w:cstheme="minorHAnsi"/>
                <w:lang w:val="ka-GE"/>
              </w:rPr>
            </w:pPr>
            <w:r w:rsidRPr="00A822B0">
              <w:rPr>
                <w:rFonts w:ascii="Sylfaen" w:hAnsi="Sylfaen" w:cstheme="minorHAnsi"/>
                <w:lang w:val="ka-GE"/>
              </w:rPr>
              <w:t>სახელმწიფოს მიერ ხორციელდება სახელმწიფო გასაცემლების გაცემა</w:t>
            </w:r>
            <w:r w:rsidRPr="00A822B0">
              <w:rPr>
                <w:rFonts w:ascii="Sylfaen" w:hAnsi="Sylfaen" w:cstheme="minorHAnsi"/>
              </w:rPr>
              <w:t xml:space="preserve"> </w:t>
            </w:r>
            <w:r w:rsidRPr="00A822B0">
              <w:rPr>
                <w:rFonts w:ascii="Sylfaen" w:hAnsi="Sylfaen" w:cstheme="minorHAnsi"/>
                <w:lang w:val="ka-GE"/>
              </w:rPr>
              <w:t>9 აპრილის დაზარალებულთა ოჯახის წევრებსა და 9 აპრილის შშმ პირებზე (44</w:t>
            </w:r>
            <w:r w:rsidRPr="00A822B0">
              <w:rPr>
                <w:rFonts w:ascii="Sylfaen" w:hAnsi="Sylfaen" w:cstheme="minorHAnsi"/>
              </w:rPr>
              <w:t xml:space="preserve"> </w:t>
            </w:r>
            <w:r w:rsidRPr="00A822B0">
              <w:rPr>
                <w:rFonts w:ascii="Sylfaen" w:hAnsi="Sylfaen" w:cstheme="minorHAnsi"/>
                <w:lang w:val="ka-GE"/>
              </w:rPr>
              <w:t>ლარი), ასევე, 9 აპრილის მონაწილეებზე (22 ლარი), რომელიც წლების</w:t>
            </w:r>
            <w:r w:rsidRPr="00A822B0">
              <w:rPr>
                <w:rFonts w:ascii="Sylfaen" w:hAnsi="Sylfaen" w:cstheme="minorHAnsi"/>
              </w:rPr>
              <w:t xml:space="preserve"> </w:t>
            </w:r>
            <w:r w:rsidRPr="00A822B0">
              <w:rPr>
                <w:rFonts w:ascii="Sylfaen" w:hAnsi="Sylfaen" w:cstheme="minorHAnsi"/>
                <w:lang w:val="ka-GE"/>
              </w:rPr>
              <w:t xml:space="preserve">განმავლობაში არ გაზრდილა. </w:t>
            </w:r>
            <w:r w:rsidRPr="00A33267">
              <w:rPr>
                <w:rFonts w:ascii="Sylfaen" w:hAnsi="Sylfaen" w:cstheme="minorHAnsi"/>
                <w:b/>
                <w:lang w:val="ka-GE"/>
              </w:rPr>
              <w:t>საბიუჯეტო განხილვების დროს საქართველოს</w:t>
            </w:r>
            <w:r w:rsidRPr="00A33267">
              <w:rPr>
                <w:rFonts w:ascii="Sylfaen" w:hAnsi="Sylfaen" w:cstheme="minorHAnsi"/>
                <w:b/>
              </w:rPr>
              <w:t xml:space="preserve"> </w:t>
            </w:r>
            <w:r w:rsidRPr="00A33267">
              <w:rPr>
                <w:rFonts w:ascii="Sylfaen" w:hAnsi="Sylfaen" w:cstheme="minorHAnsi"/>
                <w:b/>
                <w:lang w:val="ka-GE"/>
              </w:rPr>
              <w:t>პარლამენტის წევრების მიერ არაერთხელ გაჟღერდა წინადადება აღნიშნული</w:t>
            </w:r>
            <w:r w:rsidRPr="00A33267">
              <w:rPr>
                <w:rFonts w:ascii="Sylfaen" w:hAnsi="Sylfaen" w:cstheme="minorHAnsi"/>
                <w:b/>
              </w:rPr>
              <w:t xml:space="preserve"> </w:t>
            </w:r>
            <w:r w:rsidRPr="00A33267">
              <w:rPr>
                <w:rFonts w:ascii="Sylfaen" w:hAnsi="Sylfaen" w:cstheme="minorHAnsi"/>
                <w:b/>
                <w:lang w:val="ka-GE"/>
              </w:rPr>
              <w:t>სახელმწიფო გასაცემლის გაზრდის თაობაზე.</w:t>
            </w:r>
            <w:r w:rsidRPr="00A822B0">
              <w:rPr>
                <w:rFonts w:ascii="Sylfaen" w:hAnsi="Sylfaen" w:cstheme="minorHAnsi"/>
                <w:lang w:val="ka-GE"/>
              </w:rPr>
              <w:t xml:space="preserve"> კომიტეტს მიზანშეწონილად</w:t>
            </w:r>
            <w:r w:rsidRPr="00A822B0">
              <w:rPr>
                <w:rFonts w:ascii="Sylfaen" w:hAnsi="Sylfaen" w:cstheme="minorHAnsi"/>
              </w:rPr>
              <w:t xml:space="preserve"> </w:t>
            </w:r>
            <w:r w:rsidRPr="00A822B0">
              <w:rPr>
                <w:rFonts w:ascii="Sylfaen" w:hAnsi="Sylfaen" w:cstheme="minorHAnsi"/>
                <w:lang w:val="ka-GE"/>
              </w:rPr>
              <w:t>მიაჩნია მისი ოდენობის გაზრდა</w:t>
            </w:r>
            <w:r w:rsidR="00DE2F3B">
              <w:rPr>
                <w:rFonts w:ascii="Sylfaen" w:hAnsi="Sylfaen" w:cstheme="minorHAnsi"/>
                <w:lang w:val="ka-GE"/>
              </w:rPr>
              <w:t>.</w:t>
            </w:r>
          </w:p>
        </w:tc>
        <w:tc>
          <w:tcPr>
            <w:tcW w:w="2475" w:type="pct"/>
          </w:tcPr>
          <w:p w:rsidR="00586E8B" w:rsidRPr="00EB6F46" w:rsidRDefault="00EB6F46" w:rsidP="00586E8B">
            <w:pPr>
              <w:tabs>
                <w:tab w:val="left" w:pos="0"/>
              </w:tabs>
              <w:spacing w:line="276" w:lineRule="auto"/>
              <w:jc w:val="both"/>
              <w:rPr>
                <w:rFonts w:ascii="Sylfaen" w:hAnsi="Sylfaen" w:cstheme="minorHAnsi"/>
                <w:b/>
                <w:bCs/>
                <w:noProof/>
                <w:lang w:val="ka-GE"/>
              </w:rPr>
            </w:pPr>
            <w:r w:rsidRPr="00EB6F46">
              <w:rPr>
                <w:rFonts w:ascii="Sylfaen" w:hAnsi="Sylfaen" w:cstheme="minorHAnsi"/>
                <w:b/>
                <w:bCs/>
                <w:noProof/>
                <w:lang w:val="ka-GE"/>
              </w:rPr>
              <w:t>გათვალისწინებულია</w:t>
            </w:r>
          </w:p>
          <w:p w:rsidR="00EB6F46" w:rsidRPr="00A822B0" w:rsidRDefault="00EB6F46"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გადამუშავებული ბიუჯეტი ითვალისწინებს თანხებს საყოფაცხოვრებო სუბსიდიის გაზრდის მიზნით, კერძოდ 7 ლარიანი სუბსიდიის ზრდა გათვალისწინებულია 40 ლარამდე, 22 ლარიანი სუბსიდია გაიზრდება 60 ლარამდე, ხოლო 44 ლარიანი სუბსიდია - 80 ლარამდე.</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11</w:t>
            </w:r>
          </w:p>
        </w:tc>
        <w:tc>
          <w:tcPr>
            <w:tcW w:w="2356" w:type="pct"/>
          </w:tcPr>
          <w:p w:rsidR="00586E8B" w:rsidRPr="00A822B0" w:rsidRDefault="00A822B0" w:rsidP="00A822B0">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სოციალური დახმარების მიმღებთა ერთ-ერთ კატეგორიას</w:t>
            </w:r>
            <w:r w:rsidRPr="00A822B0">
              <w:rPr>
                <w:rFonts w:ascii="Sylfaen" w:hAnsi="Sylfaen" w:cstheme="minorHAnsi"/>
                <w:bCs/>
                <w:noProof/>
              </w:rPr>
              <w:t xml:space="preserve"> </w:t>
            </w:r>
            <w:r w:rsidRPr="00A822B0">
              <w:rPr>
                <w:rFonts w:ascii="Sylfaen" w:hAnsi="Sylfaen" w:cstheme="minorHAnsi"/>
                <w:bCs/>
                <w:noProof/>
                <w:lang w:val="ka-GE"/>
              </w:rPr>
              <w:t xml:space="preserve">წარმოადგენენ </w:t>
            </w:r>
            <w:r w:rsidRPr="00DE2F3B">
              <w:rPr>
                <w:rFonts w:ascii="Sylfaen" w:hAnsi="Sylfaen" w:cstheme="minorHAnsi"/>
                <w:b/>
                <w:bCs/>
                <w:noProof/>
                <w:lang w:val="ka-GE"/>
              </w:rPr>
              <w:t>პოლიტიკური რეპრესიების მსხვერპლად აღიარებული პირები,</w:t>
            </w:r>
            <w:r w:rsidRPr="00A822B0">
              <w:rPr>
                <w:rFonts w:ascii="Sylfaen" w:hAnsi="Sylfaen" w:cstheme="minorHAnsi"/>
                <w:bCs/>
                <w:noProof/>
              </w:rPr>
              <w:t xml:space="preserve"> </w:t>
            </w:r>
            <w:r w:rsidRPr="00A822B0">
              <w:rPr>
                <w:rFonts w:ascii="Sylfaen" w:hAnsi="Sylfaen" w:cstheme="minorHAnsi"/>
                <w:bCs/>
                <w:noProof/>
                <w:lang w:val="ka-GE"/>
              </w:rPr>
              <w:t>კომიტეტს მიზანშეწონილად მიაჩნია აღნიშნული გასაცემელის ოდენობის</w:t>
            </w:r>
            <w:r w:rsidRPr="00A822B0">
              <w:rPr>
                <w:rFonts w:ascii="Sylfaen" w:hAnsi="Sylfaen" w:cstheme="minorHAnsi"/>
                <w:bCs/>
                <w:noProof/>
              </w:rPr>
              <w:t xml:space="preserve"> </w:t>
            </w:r>
            <w:r w:rsidRPr="00A822B0">
              <w:rPr>
                <w:rFonts w:ascii="Sylfaen" w:hAnsi="Sylfaen" w:cstheme="minorHAnsi"/>
                <w:bCs/>
                <w:noProof/>
                <w:lang w:val="ka-GE"/>
              </w:rPr>
              <w:t>გაზრდა</w:t>
            </w:r>
            <w:r w:rsidR="00DE2F3B">
              <w:rPr>
                <w:rFonts w:ascii="Sylfaen" w:hAnsi="Sylfaen" w:cstheme="minorHAnsi"/>
                <w:bCs/>
                <w:noProof/>
                <w:lang w:val="ka-GE"/>
              </w:rPr>
              <w:t>.</w:t>
            </w:r>
          </w:p>
        </w:tc>
        <w:tc>
          <w:tcPr>
            <w:tcW w:w="2475" w:type="pct"/>
          </w:tcPr>
          <w:p w:rsidR="00EB6F46" w:rsidRPr="00EB6F46" w:rsidRDefault="00EB6F46" w:rsidP="00EB6F46">
            <w:pPr>
              <w:tabs>
                <w:tab w:val="left" w:pos="0"/>
              </w:tabs>
              <w:spacing w:line="276" w:lineRule="auto"/>
              <w:jc w:val="both"/>
              <w:rPr>
                <w:rFonts w:ascii="Sylfaen" w:hAnsi="Sylfaen" w:cstheme="minorHAnsi"/>
                <w:b/>
                <w:bCs/>
                <w:noProof/>
                <w:lang w:val="ka-GE"/>
              </w:rPr>
            </w:pPr>
            <w:r w:rsidRPr="00EB6F46">
              <w:rPr>
                <w:rFonts w:ascii="Sylfaen" w:hAnsi="Sylfaen" w:cstheme="minorHAnsi"/>
                <w:b/>
                <w:bCs/>
                <w:noProof/>
                <w:lang w:val="ka-GE"/>
              </w:rPr>
              <w:t>გათვალისწინებულია</w:t>
            </w:r>
          </w:p>
          <w:p w:rsidR="00586E8B" w:rsidRPr="00A822B0" w:rsidRDefault="00EB6F46"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7 ლარიანი საყოფაცხოვრებო სუბსიდიის მიმღებთა უდიდეს ნაწილს წარმოადგენს</w:t>
            </w:r>
            <w:r w:rsidRPr="00EB6F46">
              <w:rPr>
                <w:rFonts w:ascii="Sylfaen" w:hAnsi="Sylfaen" w:cstheme="minorHAnsi"/>
                <w:bCs/>
                <w:noProof/>
                <w:lang w:val="ka-GE"/>
              </w:rPr>
              <w:t xml:space="preserve"> პოლიტიკური რეპრესიების მსხვერპლად აღიარებული პირების</w:t>
            </w:r>
            <w:r>
              <w:rPr>
                <w:rFonts w:ascii="Sylfaen" w:hAnsi="Sylfaen" w:cstheme="minorHAnsi"/>
                <w:bCs/>
                <w:noProof/>
                <w:lang w:val="ka-GE"/>
              </w:rPr>
              <w:t xml:space="preserve"> ოჯახის წევრები და მათთვის სუბსიდიის მოცულობა 7 ლარიდან იზრდება 40 ლარამდე.</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12</w:t>
            </w:r>
          </w:p>
        </w:tc>
        <w:tc>
          <w:tcPr>
            <w:tcW w:w="2356" w:type="pct"/>
          </w:tcPr>
          <w:p w:rsidR="00586E8B" w:rsidRPr="00A822B0" w:rsidRDefault="00A822B0" w:rsidP="00A822B0">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საქართველოს პარლამენტში საბიუჯეტო განხილვებისას აქტიურად</w:t>
            </w:r>
            <w:r w:rsidRPr="00A822B0">
              <w:rPr>
                <w:rFonts w:ascii="Sylfaen" w:hAnsi="Sylfaen" w:cstheme="minorHAnsi"/>
                <w:bCs/>
                <w:noProof/>
              </w:rPr>
              <w:t xml:space="preserve"> </w:t>
            </w:r>
            <w:r w:rsidRPr="00A822B0">
              <w:rPr>
                <w:rFonts w:ascii="Sylfaen" w:hAnsi="Sylfaen" w:cstheme="minorHAnsi"/>
                <w:bCs/>
                <w:noProof/>
                <w:lang w:val="ka-GE"/>
              </w:rPr>
              <w:t xml:space="preserve">მიმდინარეობდა მსჯელობა </w:t>
            </w:r>
            <w:r w:rsidRPr="00A33267">
              <w:rPr>
                <w:rFonts w:ascii="Sylfaen" w:hAnsi="Sylfaen" w:cstheme="minorHAnsi"/>
                <w:b/>
                <w:bCs/>
                <w:noProof/>
                <w:lang w:val="ka-GE"/>
              </w:rPr>
              <w:t>სკოლებში ბავშვთა უფასო კვების თაობაზე.</w:t>
            </w:r>
            <w:r w:rsidRPr="00A822B0">
              <w:rPr>
                <w:rFonts w:ascii="Sylfaen" w:hAnsi="Sylfaen" w:cstheme="minorHAnsi"/>
                <w:bCs/>
                <w:noProof/>
                <w:lang w:val="ka-GE"/>
              </w:rPr>
              <w:t xml:space="preserve"> ამ</w:t>
            </w:r>
            <w:r w:rsidRPr="00A822B0">
              <w:rPr>
                <w:rFonts w:ascii="Sylfaen" w:hAnsi="Sylfaen" w:cstheme="minorHAnsi"/>
                <w:bCs/>
                <w:noProof/>
              </w:rPr>
              <w:t xml:space="preserve"> </w:t>
            </w:r>
            <w:r w:rsidRPr="00A822B0">
              <w:rPr>
                <w:rFonts w:ascii="Sylfaen" w:hAnsi="Sylfaen" w:cstheme="minorHAnsi"/>
                <w:bCs/>
                <w:noProof/>
                <w:lang w:val="ka-GE"/>
              </w:rPr>
              <w:t>საკითხზე მუშაობის მზაობას გამოთქვამს საქართველოს მთავრობაც.</w:t>
            </w:r>
            <w:r w:rsidRPr="00A822B0">
              <w:rPr>
                <w:rFonts w:ascii="Sylfaen" w:hAnsi="Sylfaen" w:cstheme="minorHAnsi"/>
                <w:bCs/>
                <w:noProof/>
              </w:rPr>
              <w:t xml:space="preserve"> </w:t>
            </w:r>
            <w:r w:rsidRPr="00A822B0">
              <w:rPr>
                <w:rFonts w:ascii="Sylfaen" w:hAnsi="Sylfaen" w:cstheme="minorHAnsi"/>
                <w:bCs/>
                <w:noProof/>
                <w:lang w:val="ka-GE"/>
              </w:rPr>
              <w:t xml:space="preserve">მიუხედავად იმისა, რომ ამ მიმართულებით საჭიროა მნიშვნელოვანი ოდენობის ფინანსური რესურსი, საქართველოს პარლამენტის წევრების დიდი ნაწილი თვლის, რომ ქვეყნის მაკროეკონომიკური და ფისკალური პარამეტრების გათვალისწინებით უკვე შესაძლებელია დაიწყოს მუშაობა შესაბამის პროგრამაზე. </w:t>
            </w:r>
            <w:r w:rsidRPr="00A33267">
              <w:rPr>
                <w:rFonts w:ascii="Sylfaen" w:hAnsi="Sylfaen" w:cstheme="minorHAnsi"/>
                <w:b/>
                <w:bCs/>
                <w:noProof/>
                <w:lang w:val="ka-GE"/>
              </w:rPr>
              <w:t>ეს პროგრამა 2024 წელს სრულად ვერ ამოქმედდება, მაგრამ შესაძლებელია ერთობლივი კოორდინაციით გადაიდგას ქმედითი ნაბიჯები პროგრამის დასაწყებად</w:t>
            </w:r>
            <w:r w:rsidR="00DE2F3B">
              <w:rPr>
                <w:rFonts w:ascii="Sylfaen" w:hAnsi="Sylfaen" w:cstheme="minorHAnsi"/>
                <w:b/>
                <w:bCs/>
                <w:noProof/>
                <w:lang w:val="ka-GE"/>
              </w:rPr>
              <w:t>.</w:t>
            </w:r>
          </w:p>
        </w:tc>
        <w:tc>
          <w:tcPr>
            <w:tcW w:w="2475" w:type="pct"/>
          </w:tcPr>
          <w:p w:rsidR="00586E8B" w:rsidRPr="00EB6F46" w:rsidRDefault="00EB6F46" w:rsidP="00B5347A">
            <w:pPr>
              <w:tabs>
                <w:tab w:val="left" w:pos="0"/>
              </w:tabs>
              <w:spacing w:line="276" w:lineRule="auto"/>
              <w:jc w:val="both"/>
              <w:rPr>
                <w:rFonts w:ascii="Sylfaen" w:hAnsi="Sylfaen" w:cstheme="minorHAnsi"/>
                <w:b/>
                <w:bCs/>
                <w:noProof/>
                <w:lang w:val="ka-GE"/>
              </w:rPr>
            </w:pPr>
            <w:r w:rsidRPr="00EB6F46">
              <w:rPr>
                <w:rFonts w:ascii="Sylfaen" w:hAnsi="Sylfaen" w:cstheme="minorHAnsi"/>
                <w:b/>
                <w:bCs/>
                <w:noProof/>
                <w:lang w:val="ka-GE"/>
              </w:rPr>
              <w:t>ამ ეტაპზე არ არის გათვალისწინებული</w:t>
            </w:r>
          </w:p>
          <w:p w:rsidR="00EB6F46" w:rsidRDefault="00EB6F46" w:rsidP="00EB6F46">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საჯარო სკოლებში ბავშვების კვებით უზრუნველყოფა მნიშვნელოვანი საკითხია, თუმცა აღსანიშნავია რომ სრულყოფილი კვებით უზრუნველყოფისთვის საჭირო ინფრასტრუქტურა ამ ეტაპზე საჯარო სკოლებში არ არსებობს. აქვე გასათვალისწინებელია, რომ მსგავსი შინაარსის პროგრამის დაწყება ვე</w:t>
            </w:r>
            <w:r w:rsidR="004B2C52">
              <w:rPr>
                <w:rFonts w:ascii="Sylfaen" w:hAnsi="Sylfaen" w:cstheme="minorHAnsi"/>
                <w:bCs/>
                <w:noProof/>
                <w:lang w:val="ka-GE"/>
              </w:rPr>
              <w:t>რ</w:t>
            </w:r>
            <w:r>
              <w:rPr>
                <w:rFonts w:ascii="Sylfaen" w:hAnsi="Sylfaen" w:cstheme="minorHAnsi"/>
                <w:bCs/>
                <w:noProof/>
                <w:lang w:val="ka-GE"/>
              </w:rPr>
              <w:t xml:space="preserve"> განხორციელდება საპილოტედ, მხოლოდ იმ სკოლებში</w:t>
            </w:r>
            <w:r w:rsidR="004B2C52">
              <w:rPr>
                <w:rFonts w:ascii="Sylfaen" w:hAnsi="Sylfaen" w:cstheme="minorHAnsi"/>
                <w:bCs/>
                <w:noProof/>
                <w:lang w:val="ka-GE"/>
              </w:rPr>
              <w:t>,</w:t>
            </w:r>
            <w:r>
              <w:rPr>
                <w:rFonts w:ascii="Sylfaen" w:hAnsi="Sylfaen" w:cstheme="minorHAnsi"/>
                <w:bCs/>
                <w:noProof/>
                <w:lang w:val="ka-GE"/>
              </w:rPr>
              <w:t xml:space="preserve"> სადაც შესაბამისი ინფრასტრუქტურა არსებობს.</w:t>
            </w:r>
          </w:p>
          <w:p w:rsidR="00EB6F46" w:rsidRPr="00A822B0" w:rsidRDefault="00CE28C9" w:rsidP="00EB6F46">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მიუხედავად ზემოაღნიშნულისა, საქართველოს მთავრობა ამ მიმართულებით მაქსიმალურად გააქტიურებს ძალისხმევას და 2024 წლის განმავლობაში გადადგამს ქმედით ნაბიჯებს მომდევნო წლებში საჯარო სკოლებში კვების უზრუნველყოფის მიზნით.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13</w:t>
            </w:r>
          </w:p>
        </w:tc>
        <w:tc>
          <w:tcPr>
            <w:tcW w:w="2356" w:type="pct"/>
          </w:tcPr>
          <w:p w:rsidR="00586E8B" w:rsidRPr="00A822B0" w:rsidRDefault="00A822B0" w:rsidP="00DE2F3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არსებული გეოპოლიტიკური მდგომარეობის გათვალისწინებით</w:t>
            </w:r>
            <w:r w:rsidR="00DE2F3B">
              <w:rPr>
                <w:rFonts w:ascii="Sylfaen" w:hAnsi="Sylfaen" w:cstheme="minorHAnsi"/>
                <w:bCs/>
                <w:noProof/>
                <w:lang w:val="ka-GE"/>
              </w:rPr>
              <w:t xml:space="preserve"> </w:t>
            </w:r>
            <w:r w:rsidRPr="00A822B0">
              <w:rPr>
                <w:rFonts w:ascii="Sylfaen" w:hAnsi="Sylfaen" w:cstheme="minorHAnsi"/>
                <w:bCs/>
                <w:noProof/>
                <w:lang w:val="ka-GE"/>
              </w:rPr>
              <w:t xml:space="preserve">მნიშვნელოვანია </w:t>
            </w:r>
            <w:r w:rsidRPr="00A33267">
              <w:rPr>
                <w:rFonts w:ascii="Sylfaen" w:hAnsi="Sylfaen" w:cstheme="minorHAnsi"/>
                <w:b/>
                <w:bCs/>
                <w:noProof/>
                <w:lang w:val="ka-GE"/>
              </w:rPr>
              <w:t>თავდაცვის დაფინანსების მაქსიმალური ზრდა, თუმცა ამან არ უნდა გამოიწვიოს ბიუჯეტის დეფიციტის გაზრდა</w:t>
            </w:r>
            <w:r w:rsidR="00DE2F3B">
              <w:rPr>
                <w:rFonts w:ascii="Sylfaen" w:hAnsi="Sylfaen" w:cstheme="minorHAnsi"/>
                <w:b/>
                <w:bCs/>
                <w:noProof/>
                <w:lang w:val="ka-GE"/>
              </w:rPr>
              <w:t>.</w:t>
            </w:r>
          </w:p>
        </w:tc>
        <w:tc>
          <w:tcPr>
            <w:tcW w:w="2475" w:type="pct"/>
          </w:tcPr>
          <w:p w:rsidR="00586E8B" w:rsidRDefault="00CE28C9" w:rsidP="00586E8B">
            <w:pPr>
              <w:tabs>
                <w:tab w:val="left" w:pos="0"/>
              </w:tabs>
              <w:spacing w:line="276" w:lineRule="auto"/>
              <w:jc w:val="both"/>
              <w:rPr>
                <w:rFonts w:ascii="Sylfaen" w:hAnsi="Sylfaen" w:cstheme="minorHAnsi"/>
                <w:b/>
                <w:bCs/>
                <w:noProof/>
                <w:lang w:val="ka-GE"/>
              </w:rPr>
            </w:pPr>
            <w:r w:rsidRPr="00CE28C9">
              <w:rPr>
                <w:rFonts w:ascii="Sylfaen" w:hAnsi="Sylfaen" w:cstheme="minorHAnsi"/>
                <w:b/>
                <w:bCs/>
                <w:noProof/>
                <w:lang w:val="ka-GE"/>
              </w:rPr>
              <w:t>გათვალისწინებულია</w:t>
            </w:r>
          </w:p>
          <w:p w:rsidR="00CE28C9" w:rsidRPr="00CE28C9" w:rsidRDefault="00CE28C9" w:rsidP="004B2C5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თავდაცვისა და უსაფრთხოების მიმართულებით ბიუჯეტის გადამუშავებულ ვარიანტში დაფინანსება გაზრდილია, მათ შორის </w:t>
            </w:r>
            <w:r w:rsidR="004B2C52">
              <w:rPr>
                <w:rFonts w:ascii="Sylfaen" w:hAnsi="Sylfaen" w:cstheme="minorHAnsi"/>
                <w:bCs/>
                <w:noProof/>
                <w:lang w:val="ka-GE"/>
              </w:rPr>
              <w:t>თ</w:t>
            </w:r>
            <w:r>
              <w:rPr>
                <w:rFonts w:ascii="Sylfaen" w:hAnsi="Sylfaen" w:cstheme="minorHAnsi"/>
                <w:bCs/>
                <w:noProof/>
                <w:lang w:val="ka-GE"/>
              </w:rPr>
              <w:t>ავდაცვის სამინისტროსთვის გამოყოფილია დამატებით 10,0 მლნ ლარი.</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14</w:t>
            </w:r>
          </w:p>
        </w:tc>
        <w:tc>
          <w:tcPr>
            <w:tcW w:w="2356" w:type="pct"/>
          </w:tcPr>
          <w:p w:rsidR="00586E8B" w:rsidRPr="00A822B0" w:rsidRDefault="00A822B0"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 xml:space="preserve">მიზანშეწონილია, </w:t>
            </w:r>
            <w:r w:rsidRPr="00A33267">
              <w:rPr>
                <w:rFonts w:ascii="Sylfaen" w:hAnsi="Sylfaen" w:cstheme="minorHAnsi"/>
                <w:b/>
                <w:bCs/>
                <w:noProof/>
                <w:lang w:val="ka-GE"/>
              </w:rPr>
              <w:t>საგზაო ინფრასტრუქტურის გაუმჯობესებისა (კოდი 25 02) და წყალმომარაგების ინფრასტრუქტურის აღდგენარეაბილიტაციის (კოდი 25 04) მიმართულებებით შესაძლებლობის ფარგლებში გამოიყოს დამატებთი ასიგნებები</w:t>
            </w:r>
            <w:r w:rsidR="00DE2F3B">
              <w:rPr>
                <w:rFonts w:ascii="Sylfaen" w:hAnsi="Sylfaen" w:cstheme="minorHAnsi"/>
                <w:b/>
                <w:bCs/>
                <w:noProof/>
                <w:lang w:val="ka-GE"/>
              </w:rPr>
              <w:t>.</w:t>
            </w:r>
          </w:p>
        </w:tc>
        <w:tc>
          <w:tcPr>
            <w:tcW w:w="2475" w:type="pct"/>
          </w:tcPr>
          <w:p w:rsidR="00586E8B" w:rsidRPr="00CE28C9" w:rsidRDefault="00CE28C9" w:rsidP="00586E8B">
            <w:pPr>
              <w:tabs>
                <w:tab w:val="left" w:pos="0"/>
              </w:tabs>
              <w:spacing w:line="276" w:lineRule="auto"/>
              <w:jc w:val="both"/>
              <w:rPr>
                <w:rFonts w:ascii="Sylfaen" w:hAnsi="Sylfaen" w:cstheme="minorHAnsi"/>
                <w:b/>
                <w:bCs/>
                <w:noProof/>
                <w:lang w:val="ka-GE"/>
              </w:rPr>
            </w:pPr>
            <w:r w:rsidRPr="00CE28C9">
              <w:rPr>
                <w:rFonts w:ascii="Sylfaen" w:hAnsi="Sylfaen" w:cstheme="minorHAnsi"/>
                <w:b/>
                <w:bCs/>
                <w:noProof/>
                <w:lang w:val="ka-GE"/>
              </w:rPr>
              <w:t>გათვალისწინებულია ნაწილობრივ</w:t>
            </w:r>
          </w:p>
          <w:p w:rsidR="00CE28C9" w:rsidRDefault="00CE28C9" w:rsidP="00CE28C9">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საგზაო ინფრასტრუქტურის გაუმჯობესების მიმართულებით განხორციელდა პროექტებს შორის თანხების გადანაწილება, რის შედეგადაც ყველა მიმდინარე პროექტი დაფინანსდება სრულყოფილად.</w:t>
            </w:r>
          </w:p>
          <w:p w:rsidR="00CE28C9" w:rsidRPr="00CE28C9" w:rsidRDefault="00CE28C9" w:rsidP="00CE28C9">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რაც შეეხება წყალომარაგების მიმართულებით (25 04), ბიუჯეტის გადამუშავებულ ვარიანტში დამატებით გამოყოფილია 20,0 მლნ ლარი.</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lang w:val="ka-GE"/>
              </w:rPr>
            </w:pPr>
            <w:r w:rsidRPr="00A822B0">
              <w:rPr>
                <w:rFonts w:ascii="Sylfaen" w:hAnsi="Sylfaen" w:cstheme="minorHAnsi"/>
                <w:lang w:val="ka-GE"/>
              </w:rPr>
              <w:t>15</w:t>
            </w:r>
          </w:p>
        </w:tc>
        <w:tc>
          <w:tcPr>
            <w:tcW w:w="2356" w:type="pct"/>
          </w:tcPr>
          <w:p w:rsidR="00586E8B" w:rsidRPr="00DE2F3B" w:rsidRDefault="00A822B0" w:rsidP="00586E8B">
            <w:pPr>
              <w:tabs>
                <w:tab w:val="left" w:pos="0"/>
              </w:tabs>
              <w:spacing w:line="276" w:lineRule="auto"/>
              <w:jc w:val="both"/>
              <w:rPr>
                <w:rFonts w:ascii="Sylfaen" w:hAnsi="Sylfaen" w:cstheme="minorHAnsi"/>
                <w:lang w:val="ka-GE"/>
              </w:rPr>
            </w:pPr>
            <w:r w:rsidRPr="00A822B0">
              <w:rPr>
                <w:rFonts w:ascii="Sylfaen" w:hAnsi="Sylfaen" w:cstheme="minorHAnsi"/>
              </w:rPr>
              <w:t xml:space="preserve">საქართველოს პარლამენტში ბიუჯეტის პროექტის განხილვებისას გამოითქვა მოსაზრება </w:t>
            </w:r>
            <w:r w:rsidRPr="00A33267">
              <w:rPr>
                <w:rFonts w:ascii="Sylfaen" w:hAnsi="Sylfaen" w:cstheme="minorHAnsi"/>
                <w:b/>
              </w:rPr>
              <w:t>პენიტენციური სისტემის მართვისა და ბრალდებულთა/მსჯავრდებულთა ყოფითი პირობების გაუმჯობესების პროგრამის დაფინანსების ზრდის საჭიროებაზე. მიზანშეწონილია დამატებითი კონსულტაციები აღნიშნული პროგრამის დაფინანსების ზრდის საჭიროების, მიზნობრიობისა და ოდენობის დასაზუსტებლად</w:t>
            </w:r>
            <w:r w:rsidR="00DE2F3B">
              <w:rPr>
                <w:rFonts w:ascii="Sylfaen" w:hAnsi="Sylfaen" w:cstheme="minorHAnsi"/>
                <w:b/>
                <w:lang w:val="ka-GE"/>
              </w:rPr>
              <w:t>.</w:t>
            </w:r>
          </w:p>
        </w:tc>
        <w:tc>
          <w:tcPr>
            <w:tcW w:w="2475" w:type="pct"/>
          </w:tcPr>
          <w:p w:rsidR="00586E8B" w:rsidRPr="00CE28C9" w:rsidRDefault="00CE28C9" w:rsidP="00586E8B">
            <w:pPr>
              <w:tabs>
                <w:tab w:val="left" w:pos="0"/>
              </w:tabs>
              <w:spacing w:line="276" w:lineRule="auto"/>
              <w:jc w:val="both"/>
              <w:rPr>
                <w:rFonts w:ascii="Sylfaen" w:hAnsi="Sylfaen" w:cstheme="minorHAnsi"/>
                <w:b/>
                <w:bCs/>
                <w:noProof/>
                <w:lang w:val="ka-GE"/>
              </w:rPr>
            </w:pPr>
            <w:r w:rsidRPr="00CE28C9">
              <w:rPr>
                <w:rFonts w:ascii="Sylfaen" w:hAnsi="Sylfaen" w:cstheme="minorHAnsi"/>
                <w:b/>
                <w:bCs/>
                <w:noProof/>
                <w:lang w:val="ka-GE"/>
              </w:rPr>
              <w:t>გათვალისწინებულია</w:t>
            </w:r>
          </w:p>
          <w:p w:rsidR="00CE28C9" w:rsidRPr="00CE28C9" w:rsidRDefault="00CE28C9"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შესაბამის სამინისტროსთან დამატებითი კონსულტაციების საფუძველზე, ბიუჯეტის გადამუშავებულ ვარიანტში სასჯელაღსრულების დეპარტამენტისთვის დამატებით გამოიყო 3,0 მლნ ლარი.</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16</w:t>
            </w:r>
          </w:p>
        </w:tc>
        <w:tc>
          <w:tcPr>
            <w:tcW w:w="2356" w:type="pct"/>
          </w:tcPr>
          <w:p w:rsidR="00586E8B" w:rsidRPr="00DE2F3B" w:rsidRDefault="00A822B0"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rPr>
              <w:t xml:space="preserve">ბიოწარმოების მიმართულების აქტუალობიდან და საერთაშორისო ბაზარზე მოთხოვნიდან გამომდინარე, </w:t>
            </w:r>
            <w:r w:rsidRPr="00A33267">
              <w:rPr>
                <w:rFonts w:ascii="Sylfaen" w:hAnsi="Sylfaen" w:cstheme="minorHAnsi"/>
                <w:b/>
                <w:bCs/>
                <w:noProof/>
              </w:rPr>
              <w:t>მნიშვნელოვანია ბიოწარმოების ხელშეწყობის პროგრამის ბიუჯეტის პროექტით წარმოდგენილი დაფინანსების ზრდა</w:t>
            </w:r>
            <w:r w:rsidR="00DE2F3B">
              <w:rPr>
                <w:rFonts w:ascii="Sylfaen" w:hAnsi="Sylfaen" w:cstheme="minorHAnsi"/>
                <w:b/>
                <w:bCs/>
                <w:noProof/>
                <w:lang w:val="ka-GE"/>
              </w:rPr>
              <w:t>.</w:t>
            </w:r>
          </w:p>
        </w:tc>
        <w:tc>
          <w:tcPr>
            <w:tcW w:w="2475" w:type="pct"/>
          </w:tcPr>
          <w:p w:rsidR="00CE28C9" w:rsidRPr="00CE28C9" w:rsidRDefault="00CE28C9" w:rsidP="00CE28C9">
            <w:pPr>
              <w:tabs>
                <w:tab w:val="left" w:pos="0"/>
              </w:tabs>
              <w:spacing w:line="276" w:lineRule="auto"/>
              <w:jc w:val="both"/>
              <w:rPr>
                <w:rFonts w:ascii="Sylfaen" w:hAnsi="Sylfaen" w:cstheme="minorHAnsi"/>
                <w:b/>
                <w:bCs/>
                <w:noProof/>
                <w:lang w:val="ka-GE"/>
              </w:rPr>
            </w:pPr>
            <w:r w:rsidRPr="00CE28C9">
              <w:rPr>
                <w:rFonts w:ascii="Sylfaen" w:hAnsi="Sylfaen" w:cstheme="minorHAnsi"/>
                <w:b/>
                <w:bCs/>
                <w:noProof/>
                <w:lang w:val="ka-GE"/>
              </w:rPr>
              <w:t>გათვალისწინებულია</w:t>
            </w:r>
          </w:p>
          <w:p w:rsidR="00586E8B" w:rsidRPr="00CE28C9" w:rsidRDefault="00CE28C9"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ბიოწარმოების ხელშეწყობის პროგრამის დაფინანსება გაორმაგდა და გადამუშავებულ ვარიანტში შეადგენს 1,0 მლნ ლარს.</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17</w:t>
            </w:r>
          </w:p>
        </w:tc>
        <w:tc>
          <w:tcPr>
            <w:tcW w:w="2356" w:type="pct"/>
          </w:tcPr>
          <w:p w:rsidR="00586E8B" w:rsidRPr="00DE2F3B" w:rsidRDefault="00A822B0"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rPr>
              <w:t xml:space="preserve">მნიშვნელოვანია ეტაობრივად დაიწყოს მუშაობა </w:t>
            </w:r>
            <w:r w:rsidRPr="00A33267">
              <w:rPr>
                <w:rFonts w:ascii="Sylfaen" w:hAnsi="Sylfaen" w:cstheme="minorHAnsi"/>
                <w:b/>
                <w:bCs/>
                <w:noProof/>
              </w:rPr>
              <w:t>რეგიონებში არსებული უმაღლესი სასწავლებლების ინფრასტრუქტურის გაუმჯობესების მიზნით და ამ მიმართულებით უმაღლესი სასწავლებლებთან ერთად მოძიებულ იქნას შესაბამისი დამატებითი რესურსები</w:t>
            </w:r>
            <w:r w:rsidR="00DE2F3B">
              <w:rPr>
                <w:rFonts w:ascii="Sylfaen" w:hAnsi="Sylfaen" w:cstheme="minorHAnsi"/>
                <w:b/>
                <w:bCs/>
                <w:noProof/>
                <w:lang w:val="ka-GE"/>
              </w:rPr>
              <w:t>.</w:t>
            </w:r>
          </w:p>
        </w:tc>
        <w:tc>
          <w:tcPr>
            <w:tcW w:w="2475" w:type="pct"/>
          </w:tcPr>
          <w:p w:rsidR="00CE28C9" w:rsidRPr="00CE28C9" w:rsidRDefault="00CE28C9" w:rsidP="00CE28C9">
            <w:pPr>
              <w:tabs>
                <w:tab w:val="left" w:pos="0"/>
              </w:tabs>
              <w:spacing w:line="276" w:lineRule="auto"/>
              <w:jc w:val="both"/>
              <w:rPr>
                <w:rFonts w:ascii="Sylfaen" w:hAnsi="Sylfaen" w:cstheme="minorHAnsi"/>
                <w:b/>
                <w:bCs/>
                <w:noProof/>
                <w:lang w:val="ka-GE"/>
              </w:rPr>
            </w:pPr>
            <w:r w:rsidRPr="00CE28C9">
              <w:rPr>
                <w:rFonts w:ascii="Sylfaen" w:hAnsi="Sylfaen" w:cstheme="minorHAnsi"/>
                <w:b/>
                <w:bCs/>
                <w:noProof/>
                <w:lang w:val="ka-GE"/>
              </w:rPr>
              <w:t>გათვალისწინებულია</w:t>
            </w:r>
          </w:p>
          <w:p w:rsidR="00586E8B" w:rsidRPr="007E71FE" w:rsidRDefault="007E71FE" w:rsidP="004B2C5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უმაღლესი საგანმანათლებლო დაწესებულებების ინფრასტრუქტურის გაუმჯობესების მიზნით გამოყოფილია 15,0 მლნ ლარი. გარდა ამისა, ბიუჯეტის გადამუშავებულ ვარიანტში რეგიონებში არსებული უმაღლესი საგანმანათლებლო დაწესებულებების მხარდაჭერის მიზნი</w:t>
            </w:r>
            <w:r w:rsidR="004B2C52">
              <w:rPr>
                <w:rFonts w:ascii="Sylfaen" w:hAnsi="Sylfaen" w:cstheme="minorHAnsi"/>
                <w:bCs/>
                <w:noProof/>
                <w:lang w:val="ka-GE"/>
              </w:rPr>
              <w:t>თ</w:t>
            </w:r>
            <w:r>
              <w:rPr>
                <w:rFonts w:ascii="Sylfaen" w:hAnsi="Sylfaen" w:cstheme="minorHAnsi"/>
                <w:bCs/>
                <w:noProof/>
                <w:lang w:val="ka-GE"/>
              </w:rPr>
              <w:t xml:space="preserve"> დამატებით გამოიყო 1,9 მლნ ლარი.</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18</w:t>
            </w:r>
          </w:p>
        </w:tc>
        <w:tc>
          <w:tcPr>
            <w:tcW w:w="2356" w:type="pct"/>
          </w:tcPr>
          <w:p w:rsidR="00586E8B" w:rsidRPr="00DE2F3B" w:rsidRDefault="00A822B0"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rPr>
              <w:t xml:space="preserve">ქვეყანაში არსებული </w:t>
            </w:r>
            <w:r w:rsidRPr="00A33267">
              <w:rPr>
                <w:rFonts w:ascii="Sylfaen" w:hAnsi="Sylfaen" w:cstheme="minorHAnsi"/>
                <w:b/>
                <w:bCs/>
                <w:noProof/>
              </w:rPr>
              <w:t>დემოგრაფიული ვითარების გათვალისწინებით მნიშვნელოვანი და აუცილებელია ამ მიმართულების პროგრამების დაფინანსების ოდენობების განსაზღვრისა და ამ რესურსების გამოყენების (ხარჯვის) მექანიზმის დახვეწა-დაზუსტება</w:t>
            </w:r>
            <w:r w:rsidR="00DE2F3B">
              <w:rPr>
                <w:rFonts w:ascii="Sylfaen" w:hAnsi="Sylfaen" w:cstheme="minorHAnsi"/>
                <w:b/>
                <w:bCs/>
                <w:noProof/>
                <w:lang w:val="ka-GE"/>
              </w:rPr>
              <w:t>.</w:t>
            </w:r>
          </w:p>
        </w:tc>
        <w:tc>
          <w:tcPr>
            <w:tcW w:w="2475" w:type="pct"/>
          </w:tcPr>
          <w:p w:rsidR="007E71FE" w:rsidRPr="00CE28C9" w:rsidRDefault="007E71FE" w:rsidP="007E71FE">
            <w:pPr>
              <w:tabs>
                <w:tab w:val="left" w:pos="0"/>
              </w:tabs>
              <w:spacing w:line="276" w:lineRule="auto"/>
              <w:jc w:val="both"/>
              <w:rPr>
                <w:rFonts w:ascii="Sylfaen" w:hAnsi="Sylfaen" w:cstheme="minorHAnsi"/>
                <w:b/>
                <w:bCs/>
                <w:noProof/>
                <w:lang w:val="ka-GE"/>
              </w:rPr>
            </w:pPr>
            <w:r w:rsidRPr="00CE28C9">
              <w:rPr>
                <w:rFonts w:ascii="Sylfaen" w:hAnsi="Sylfaen" w:cstheme="minorHAnsi"/>
                <w:b/>
                <w:bCs/>
                <w:noProof/>
                <w:lang w:val="ka-GE"/>
              </w:rPr>
              <w:t>გათვალისწინებულია</w:t>
            </w:r>
            <w:r>
              <w:rPr>
                <w:rFonts w:ascii="Sylfaen" w:hAnsi="Sylfaen" w:cstheme="minorHAnsi"/>
                <w:b/>
                <w:bCs/>
                <w:noProof/>
                <w:lang w:val="ka-GE"/>
              </w:rPr>
              <w:t xml:space="preserve"> ნაწილობრივ</w:t>
            </w:r>
          </w:p>
          <w:p w:rsidR="00586E8B" w:rsidRPr="00A822B0" w:rsidRDefault="007E71FE" w:rsidP="00B5347A">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ბიუჯეტის გადამუშავებულ ვარიანტში გამოიყო 25,0 მლნ ლარი, რომელიც მოხმარდება უსახლკარო მრავალშვილიანი ოჯახებისთვის საცხოვრებელი სახლების შეძენას.</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19</w:t>
            </w:r>
          </w:p>
        </w:tc>
        <w:tc>
          <w:tcPr>
            <w:tcW w:w="2356" w:type="pct"/>
          </w:tcPr>
          <w:p w:rsidR="00586E8B" w:rsidRPr="00DE2F3B" w:rsidRDefault="00A822B0" w:rsidP="00793379">
            <w:pPr>
              <w:tabs>
                <w:tab w:val="left" w:pos="0"/>
              </w:tabs>
              <w:spacing w:line="276" w:lineRule="auto"/>
              <w:jc w:val="both"/>
              <w:rPr>
                <w:rFonts w:ascii="Sylfaen" w:hAnsi="Sylfaen" w:cstheme="minorHAnsi"/>
                <w:bCs/>
                <w:noProof/>
                <w:lang w:val="ka-GE"/>
              </w:rPr>
            </w:pPr>
            <w:r w:rsidRPr="00A822B0">
              <w:rPr>
                <w:rFonts w:ascii="Sylfaen" w:hAnsi="Sylfaen" w:cstheme="minorHAnsi"/>
                <w:bCs/>
                <w:noProof/>
              </w:rPr>
              <w:t xml:space="preserve">რამდენადაც სოფლად არსებული </w:t>
            </w:r>
            <w:r w:rsidRPr="00A33267">
              <w:rPr>
                <w:rFonts w:ascii="Sylfaen" w:hAnsi="Sylfaen" w:cstheme="minorHAnsi"/>
                <w:b/>
                <w:bCs/>
                <w:noProof/>
              </w:rPr>
              <w:t>ამბულატორიები სათანადოდ ვერ პასუხობენ მოთხოვნებს, მნიშვნელოვანია მოხდეს მათი რეაბილიტაცია და აღჭურვა და შესაბამისი რესურსი გათვალისწინებულ იქნეს 2024 წლის ბიუჯეტში</w:t>
            </w:r>
            <w:r w:rsidR="00DE2F3B">
              <w:rPr>
                <w:rFonts w:ascii="Sylfaen" w:hAnsi="Sylfaen" w:cstheme="minorHAnsi"/>
                <w:b/>
                <w:bCs/>
                <w:noProof/>
                <w:lang w:val="ka-GE"/>
              </w:rPr>
              <w:t>.</w:t>
            </w:r>
          </w:p>
        </w:tc>
        <w:tc>
          <w:tcPr>
            <w:tcW w:w="2475" w:type="pct"/>
          </w:tcPr>
          <w:p w:rsidR="007E71FE" w:rsidRPr="00CE28C9" w:rsidRDefault="007E71FE" w:rsidP="007E71FE">
            <w:pPr>
              <w:tabs>
                <w:tab w:val="left" w:pos="0"/>
              </w:tabs>
              <w:spacing w:line="276" w:lineRule="auto"/>
              <w:jc w:val="both"/>
              <w:rPr>
                <w:rFonts w:ascii="Sylfaen" w:hAnsi="Sylfaen" w:cstheme="minorHAnsi"/>
                <w:b/>
                <w:bCs/>
                <w:noProof/>
                <w:lang w:val="ka-GE"/>
              </w:rPr>
            </w:pPr>
            <w:r w:rsidRPr="00CE28C9">
              <w:rPr>
                <w:rFonts w:ascii="Sylfaen" w:hAnsi="Sylfaen" w:cstheme="minorHAnsi"/>
                <w:b/>
                <w:bCs/>
                <w:noProof/>
                <w:lang w:val="ka-GE"/>
              </w:rPr>
              <w:t>გათვალისწინებულია</w:t>
            </w:r>
          </w:p>
          <w:p w:rsidR="007E71FE" w:rsidRPr="00A822B0" w:rsidRDefault="007E71FE" w:rsidP="004B2C5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2024 წლის ბიუჯეტში, სამედიცინო დაწესებულებების რეაბილიტაციისა და ა</w:t>
            </w:r>
            <w:r w:rsidR="004B2C52">
              <w:rPr>
                <w:rFonts w:ascii="Sylfaen" w:hAnsi="Sylfaen" w:cstheme="minorHAnsi"/>
                <w:bCs/>
                <w:noProof/>
                <w:lang w:val="ka-GE"/>
              </w:rPr>
              <w:t>ღ</w:t>
            </w:r>
            <w:r>
              <w:rPr>
                <w:rFonts w:ascii="Sylfaen" w:hAnsi="Sylfaen" w:cstheme="minorHAnsi"/>
                <w:bCs/>
                <w:noProof/>
                <w:lang w:val="ka-GE"/>
              </w:rPr>
              <w:t>ჭურვის მიმართულებით გამოყოფილია 90,0 მლნ ლარზე მეტი, საიდანაც დაგეგმილია 100-მდე პირველადი ჯანდაცვის დაწესებულების სარეაბილიტაციო სამუშაოების დაფინანსება.</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20</w:t>
            </w:r>
          </w:p>
        </w:tc>
        <w:tc>
          <w:tcPr>
            <w:tcW w:w="2356" w:type="pct"/>
          </w:tcPr>
          <w:p w:rsidR="00586E8B" w:rsidRPr="00DE2F3B" w:rsidRDefault="00A822B0" w:rsidP="00586E8B">
            <w:pPr>
              <w:tabs>
                <w:tab w:val="left" w:pos="0"/>
              </w:tabs>
              <w:spacing w:line="276" w:lineRule="auto"/>
              <w:jc w:val="both"/>
              <w:rPr>
                <w:rFonts w:ascii="Sylfaen" w:hAnsi="Sylfaen" w:cstheme="minorHAnsi"/>
                <w:b/>
                <w:bCs/>
                <w:noProof/>
                <w:lang w:val="ka-GE"/>
              </w:rPr>
            </w:pPr>
            <w:r w:rsidRPr="00A33267">
              <w:rPr>
                <w:rFonts w:ascii="Sylfaen" w:hAnsi="Sylfaen" w:cstheme="minorHAnsi"/>
                <w:b/>
                <w:bCs/>
                <w:noProof/>
              </w:rPr>
              <w:t>ონკოლოგიური დაავადებების პრევენციის მიზნით აუცილებელია შესაბამისი ღონისძიებების გატარება, რაც საბოლოოდ მნიშვნელოვნად შეამცირებს დაგვიანებულ მიმართვიანობას და ონკოლოგიაზე დანახარჯებს</w:t>
            </w:r>
            <w:r w:rsidR="00DE2F3B">
              <w:rPr>
                <w:rFonts w:ascii="Sylfaen" w:hAnsi="Sylfaen" w:cstheme="minorHAnsi"/>
                <w:b/>
                <w:bCs/>
                <w:noProof/>
                <w:lang w:val="ka-GE"/>
              </w:rPr>
              <w:t>.</w:t>
            </w:r>
          </w:p>
        </w:tc>
        <w:tc>
          <w:tcPr>
            <w:tcW w:w="2475" w:type="pct"/>
          </w:tcPr>
          <w:p w:rsidR="007E71FE" w:rsidRPr="00CE28C9" w:rsidRDefault="007E71FE" w:rsidP="007E71FE">
            <w:pPr>
              <w:tabs>
                <w:tab w:val="left" w:pos="0"/>
              </w:tabs>
              <w:spacing w:line="276" w:lineRule="auto"/>
              <w:jc w:val="both"/>
              <w:rPr>
                <w:rFonts w:ascii="Sylfaen" w:hAnsi="Sylfaen" w:cstheme="minorHAnsi"/>
                <w:b/>
                <w:bCs/>
                <w:noProof/>
                <w:lang w:val="ka-GE"/>
              </w:rPr>
            </w:pPr>
            <w:r w:rsidRPr="00CE28C9">
              <w:rPr>
                <w:rFonts w:ascii="Sylfaen" w:hAnsi="Sylfaen" w:cstheme="minorHAnsi"/>
                <w:b/>
                <w:bCs/>
                <w:noProof/>
                <w:lang w:val="ka-GE"/>
              </w:rPr>
              <w:t>გათვალისწინებულია</w:t>
            </w:r>
          </w:p>
          <w:p w:rsidR="00586E8B" w:rsidRPr="00A822B0" w:rsidRDefault="007E71FE" w:rsidP="007E71FE">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საყოველთაო ჯანდაცვის პროგრამის ფარგლებში დაგეგმილია ონკოლოგიური დაავადებების ადრეული დიაგნოსტიკის მიზნით მაღალტექნოლოგიური კვლევების დაფინანსების დაწყება.</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21</w:t>
            </w:r>
          </w:p>
        </w:tc>
        <w:tc>
          <w:tcPr>
            <w:tcW w:w="2356" w:type="pct"/>
          </w:tcPr>
          <w:p w:rsidR="00586E8B" w:rsidRPr="00A822B0" w:rsidRDefault="00A822B0"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rPr>
              <w:t xml:space="preserve">მიზანშეწონილია </w:t>
            </w:r>
            <w:r w:rsidRPr="00A33267">
              <w:rPr>
                <w:rFonts w:ascii="Sylfaen" w:hAnsi="Sylfaen" w:cstheme="minorHAnsi"/>
                <w:b/>
                <w:bCs/>
                <w:noProof/>
              </w:rPr>
              <w:t>გაფანტული სკლეროზის, როგორც მედიკამენტებით, ისე მაღალტექნოლოგიური კვლევების დაფინანსება მთელი საქართველოს მასშტაბით</w:t>
            </w:r>
          </w:p>
        </w:tc>
        <w:tc>
          <w:tcPr>
            <w:tcW w:w="2475" w:type="pct"/>
          </w:tcPr>
          <w:p w:rsidR="007E71FE" w:rsidRPr="00CE28C9" w:rsidRDefault="007E71FE" w:rsidP="007E71FE">
            <w:pPr>
              <w:tabs>
                <w:tab w:val="left" w:pos="0"/>
              </w:tabs>
              <w:spacing w:line="276" w:lineRule="auto"/>
              <w:jc w:val="both"/>
              <w:rPr>
                <w:rFonts w:ascii="Sylfaen" w:hAnsi="Sylfaen" w:cstheme="minorHAnsi"/>
                <w:b/>
                <w:bCs/>
                <w:noProof/>
                <w:lang w:val="ka-GE"/>
              </w:rPr>
            </w:pPr>
            <w:r w:rsidRPr="00CE28C9">
              <w:rPr>
                <w:rFonts w:ascii="Sylfaen" w:hAnsi="Sylfaen" w:cstheme="minorHAnsi"/>
                <w:b/>
                <w:bCs/>
                <w:noProof/>
                <w:lang w:val="ka-GE"/>
              </w:rPr>
              <w:t>გათვალისწინებულია</w:t>
            </w:r>
            <w:r>
              <w:rPr>
                <w:rFonts w:ascii="Sylfaen" w:hAnsi="Sylfaen" w:cstheme="minorHAnsi"/>
                <w:b/>
                <w:bCs/>
                <w:noProof/>
                <w:lang w:val="ka-GE"/>
              </w:rPr>
              <w:t xml:space="preserve"> ნაწილობრივ</w:t>
            </w:r>
          </w:p>
          <w:p w:rsidR="00586E8B" w:rsidRPr="00A822B0" w:rsidRDefault="007E71FE" w:rsidP="00933B3A">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ჯანდაცვის სამინისტროსთვის გათვალისწინებული ასიგნებების ფარგლებში განხორციელდება შესაბამისი მედიკამენტების შესყიდვა და მათი მიწოდება პაციენტებისთვის მთელი საქართველოს მაშტაბით</w:t>
            </w:r>
            <w:r w:rsidR="00593DEE">
              <w:rPr>
                <w:rFonts w:ascii="Sylfaen" w:hAnsi="Sylfaen" w:cstheme="minorHAnsi"/>
                <w:bCs/>
                <w:noProof/>
                <w:lang w:val="ka-GE"/>
              </w:rPr>
              <w:t>.</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22</w:t>
            </w:r>
          </w:p>
        </w:tc>
        <w:tc>
          <w:tcPr>
            <w:tcW w:w="2356" w:type="pct"/>
          </w:tcPr>
          <w:p w:rsidR="00586E8B" w:rsidRPr="00DE2F3B" w:rsidRDefault="00A822B0"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rPr>
              <w:t xml:space="preserve">ბიუჯეტის პროგრამული ფორმატის შემდგომი დახვეწისა და გაუმჯობესების მიმართულებით საჭიროა მხარჯავი დაწესებულებების მეტი ძალისხმევა. </w:t>
            </w:r>
            <w:r w:rsidRPr="00A33267">
              <w:rPr>
                <w:rFonts w:ascii="Sylfaen" w:hAnsi="Sylfaen" w:cstheme="minorHAnsi"/>
                <w:b/>
                <w:bCs/>
                <w:noProof/>
              </w:rPr>
              <w:t>მნიშვნელოვანია, საქართველოს მთავრობამ გააქტიუროს მუშაობა მხარჯავ დაწესებულებებთან პროგრამული ფორმატით ბიუჯეტის დაგეგმვის სრულყოფის მიმართულებით</w:t>
            </w:r>
            <w:r w:rsidR="00DE2F3B">
              <w:rPr>
                <w:rFonts w:ascii="Sylfaen" w:hAnsi="Sylfaen" w:cstheme="minorHAnsi"/>
                <w:b/>
                <w:bCs/>
                <w:noProof/>
                <w:lang w:val="ka-GE"/>
              </w:rPr>
              <w:t>.</w:t>
            </w:r>
          </w:p>
        </w:tc>
        <w:tc>
          <w:tcPr>
            <w:tcW w:w="2475" w:type="pct"/>
          </w:tcPr>
          <w:p w:rsidR="00586E8B" w:rsidRDefault="007E71FE" w:rsidP="00A1327C">
            <w:pPr>
              <w:tabs>
                <w:tab w:val="left" w:pos="0"/>
              </w:tabs>
              <w:spacing w:line="276" w:lineRule="auto"/>
              <w:jc w:val="both"/>
              <w:rPr>
                <w:rFonts w:ascii="Sylfaen" w:hAnsi="Sylfaen" w:cstheme="minorHAnsi"/>
                <w:b/>
                <w:bCs/>
                <w:noProof/>
                <w:lang w:val="ka-GE"/>
              </w:rPr>
            </w:pPr>
            <w:r w:rsidRPr="007E71FE">
              <w:rPr>
                <w:rFonts w:ascii="Sylfaen" w:hAnsi="Sylfaen" w:cstheme="minorHAnsi"/>
                <w:b/>
                <w:bCs/>
                <w:noProof/>
                <w:lang w:val="ka-GE"/>
              </w:rPr>
              <w:t>გათვალისწინებულია</w:t>
            </w:r>
          </w:p>
          <w:p w:rsidR="007E71FE" w:rsidRPr="0009614F" w:rsidRDefault="00593DEE" w:rsidP="0009614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საქართველოს ფინანსთა სამინისტრო</w:t>
            </w:r>
            <w:r w:rsidR="0009614F">
              <w:rPr>
                <w:rFonts w:ascii="Sylfaen" w:hAnsi="Sylfaen" w:cstheme="minorHAnsi"/>
                <w:bCs/>
                <w:noProof/>
                <w:lang w:val="ka-GE"/>
              </w:rPr>
              <w:t>,</w:t>
            </w:r>
            <w:r>
              <w:rPr>
                <w:rFonts w:ascii="Sylfaen" w:hAnsi="Sylfaen" w:cstheme="minorHAnsi"/>
                <w:bCs/>
                <w:noProof/>
                <w:lang w:val="ka-GE"/>
              </w:rPr>
              <w:t xml:space="preserve"> საჯარო ფინანსების მართვის რეფორმის</w:t>
            </w:r>
            <w:r w:rsidR="0009614F">
              <w:rPr>
                <w:rFonts w:ascii="Sylfaen" w:hAnsi="Sylfaen" w:cstheme="minorHAnsi"/>
                <w:bCs/>
                <w:noProof/>
                <w:lang w:val="ka-GE"/>
              </w:rPr>
              <w:t xml:space="preserve"> 2023-2026 წლების სტრატეგიის</w:t>
            </w:r>
            <w:r>
              <w:rPr>
                <w:rFonts w:ascii="Sylfaen" w:hAnsi="Sylfaen" w:cstheme="minorHAnsi"/>
                <w:bCs/>
                <w:noProof/>
                <w:lang w:val="ka-GE"/>
              </w:rPr>
              <w:t xml:space="preserve"> ფარგლებში</w:t>
            </w:r>
            <w:r w:rsidR="0009614F">
              <w:rPr>
                <w:rFonts w:ascii="Sylfaen" w:hAnsi="Sylfaen" w:cstheme="minorHAnsi"/>
                <w:bCs/>
                <w:noProof/>
                <w:lang w:val="ka-GE"/>
              </w:rPr>
              <w:t>, ახორციელებს შესაბამის ღონისძიებებს პროგრამული ბიუჯეტის გაუმჯობესების მიზნით</w:t>
            </w:r>
            <w:r>
              <w:rPr>
                <w:rFonts w:ascii="Sylfaen" w:hAnsi="Sylfaen" w:cstheme="minorHAnsi"/>
                <w:bCs/>
                <w:noProof/>
                <w:lang w:val="ka-GE"/>
              </w:rPr>
              <w:t xml:space="preserve">. </w:t>
            </w:r>
            <w:r w:rsidR="0009614F">
              <w:rPr>
                <w:rFonts w:ascii="Sylfaen" w:hAnsi="Sylfaen" w:cstheme="minorHAnsi"/>
                <w:bCs/>
                <w:noProof/>
                <w:lang w:val="ka-GE"/>
              </w:rPr>
              <w:t xml:space="preserve">ევროკავშირის დაფინანსებით, მსოფლიო ბანკის პროექტის ფარგლებში ექსპერტები ჩართულები არიან სამინისტროების პროგრამული ბიუჯეტის გაუმჯობესებაში. პარალელურად მიმდინარეობს პროგრამული ბიუჯეტის მეთოდოლოგიის განახლება.  </w:t>
            </w:r>
            <w:r w:rsidR="0009614F">
              <w:rPr>
                <w:rFonts w:ascii="Sylfaen" w:hAnsi="Sylfaen" w:cstheme="minorHAnsi"/>
                <w:bCs/>
                <w:noProof/>
                <w:lang w:val="ka-GE"/>
              </w:rPr>
              <w:t xml:space="preserve">ამასთან, აღსანიშნავია, რომ </w:t>
            </w:r>
            <w:r>
              <w:rPr>
                <w:rFonts w:ascii="Sylfaen" w:hAnsi="Sylfaen" w:cstheme="minorHAnsi"/>
                <w:bCs/>
                <w:noProof/>
                <w:lang w:val="ka-GE"/>
              </w:rPr>
              <w:t>2022 წლიდან მხარჯავ დაწესებულებებს ბიუჯეტის მართვის ელექტრონული სისტემის (</w:t>
            </w:r>
            <w:r>
              <w:rPr>
                <w:rFonts w:ascii="Sylfaen" w:hAnsi="Sylfaen" w:cstheme="minorHAnsi"/>
                <w:bCs/>
                <w:noProof/>
              </w:rPr>
              <w:t>ebudget)</w:t>
            </w:r>
            <w:r>
              <w:rPr>
                <w:rFonts w:ascii="Sylfaen" w:hAnsi="Sylfaen" w:cstheme="minorHAnsi"/>
                <w:bCs/>
                <w:noProof/>
                <w:lang w:val="ka-GE"/>
              </w:rPr>
              <w:t xml:space="preserve"> მეშვეობით შესაძლებლობა</w:t>
            </w:r>
            <w:r w:rsidR="0009614F">
              <w:rPr>
                <w:rFonts w:ascii="Sylfaen" w:hAnsi="Sylfaen" w:cstheme="minorHAnsi"/>
                <w:bCs/>
                <w:noProof/>
                <w:lang w:val="ka-GE"/>
              </w:rPr>
              <w:t xml:space="preserve"> </w:t>
            </w:r>
            <w:r>
              <w:rPr>
                <w:rFonts w:ascii="Sylfaen" w:hAnsi="Sylfaen" w:cstheme="minorHAnsi"/>
                <w:bCs/>
                <w:noProof/>
                <w:lang w:val="ka-GE"/>
              </w:rPr>
              <w:t xml:space="preserve">აქვთ თავიანთი პროგრამები/ქვეპროგრამები დააკავშირონ პოლიტიკის კლასიფიკატორთან (მ.შ. გაეროს მდგრადი განვითარების მიზნები </w:t>
            </w:r>
            <w:r w:rsidRPr="0009614F">
              <w:rPr>
                <w:rFonts w:ascii="Sylfaen" w:hAnsi="Sylfaen" w:cstheme="minorHAnsi"/>
                <w:bCs/>
                <w:noProof/>
                <w:lang w:val="ka-GE"/>
              </w:rPr>
              <w:t xml:space="preserve">- SDGs, </w:t>
            </w:r>
            <w:r>
              <w:rPr>
                <w:rFonts w:ascii="Sylfaen" w:hAnsi="Sylfaen" w:cstheme="minorHAnsi"/>
                <w:bCs/>
                <w:noProof/>
                <w:lang w:val="ka-GE"/>
              </w:rPr>
              <w:t>გენდერული თანასწორობა, კლიმატის ცვლილება და სხვა) და შესაბამისი ინფორმაცია ასახონ პროგრამული ბიუჯეტის დანართში</w:t>
            </w:r>
            <w:r w:rsidR="0009614F">
              <w:rPr>
                <w:rFonts w:ascii="Sylfaen" w:hAnsi="Sylfaen" w:cstheme="minorHAnsi"/>
                <w:bCs/>
                <w:noProof/>
                <w:lang w:val="ka-GE"/>
              </w:rPr>
              <w:t xml:space="preserve">. ამ მიმართულებითაც მიმდინარეობს აქტიური მუშაობა, მათ შორის ევროკავშირის, მსოფლიო ბანკის და გაეროს ქალთა ორგანიზაციის მხარდაჭერით, ასევე, კლიმატის ცვლილების ნაწილში საქართველოს გარემოს დაცვისა და სოფლის მეურნეობის სამინისტროს, ხოლო გენდერული თანასწორობის საკითხებში საქართველოს მთავრობის ადმინისტრაციის ადამიანის უფლებათა სამდივნოს კოორდინაციით. </w:t>
            </w:r>
          </w:p>
        </w:tc>
      </w:tr>
    </w:tbl>
    <w:p w:rsidR="000B509C" w:rsidRPr="00E038CB" w:rsidRDefault="000B509C" w:rsidP="00A24521">
      <w:pPr>
        <w:tabs>
          <w:tab w:val="left" w:pos="0"/>
        </w:tabs>
        <w:spacing w:after="0" w:line="276" w:lineRule="auto"/>
        <w:jc w:val="both"/>
        <w:rPr>
          <w:rFonts w:ascii="Sylfaen" w:hAnsi="Sylfaen" w:cstheme="minorHAnsi"/>
          <w:bCs/>
          <w:noProof/>
        </w:rPr>
      </w:pPr>
    </w:p>
    <w:sectPr w:rsidR="000B509C" w:rsidRPr="00E038CB" w:rsidSect="00336E24">
      <w:footerReference w:type="default" r:id="rId8"/>
      <w:pgSz w:w="15840" w:h="12240" w:orient="landscape"/>
      <w:pgMar w:top="8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C5A" w:rsidRDefault="00014C5A" w:rsidP="00611267">
      <w:pPr>
        <w:spacing w:after="0" w:line="240" w:lineRule="auto"/>
      </w:pPr>
      <w:r>
        <w:separator/>
      </w:r>
    </w:p>
  </w:endnote>
  <w:endnote w:type="continuationSeparator" w:id="0">
    <w:p w:rsidR="00014C5A" w:rsidRDefault="00014C5A" w:rsidP="0061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02646994"/>
      <w:docPartObj>
        <w:docPartGallery w:val="Page Numbers (Bottom of Page)"/>
        <w:docPartUnique/>
      </w:docPartObj>
    </w:sdtPr>
    <w:sdtEndPr>
      <w:rPr>
        <w:noProof/>
      </w:rPr>
    </w:sdtEndPr>
    <w:sdtContent>
      <w:p w:rsidR="00336E24" w:rsidRPr="00B377D7" w:rsidRDefault="00336E24">
        <w:pPr>
          <w:pStyle w:val="Footer"/>
          <w:jc w:val="right"/>
          <w:rPr>
            <w:sz w:val="20"/>
          </w:rPr>
        </w:pPr>
        <w:r w:rsidRPr="00B377D7">
          <w:rPr>
            <w:sz w:val="20"/>
          </w:rPr>
          <w:fldChar w:fldCharType="begin"/>
        </w:r>
        <w:r w:rsidRPr="00B377D7">
          <w:rPr>
            <w:sz w:val="20"/>
          </w:rPr>
          <w:instrText xml:space="preserve"> PAGE   \* MERGEFORMAT </w:instrText>
        </w:r>
        <w:r w:rsidRPr="00B377D7">
          <w:rPr>
            <w:sz w:val="20"/>
          </w:rPr>
          <w:fldChar w:fldCharType="separate"/>
        </w:r>
        <w:r w:rsidR="00CD1D87">
          <w:rPr>
            <w:noProof/>
            <w:sz w:val="20"/>
          </w:rPr>
          <w:t>8</w:t>
        </w:r>
        <w:r w:rsidRPr="00B377D7">
          <w:rPr>
            <w:noProof/>
            <w:sz w:val="20"/>
          </w:rPr>
          <w:fldChar w:fldCharType="end"/>
        </w:r>
      </w:p>
    </w:sdtContent>
  </w:sdt>
  <w:p w:rsidR="00336E24" w:rsidRPr="00336E24" w:rsidRDefault="00336E24">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C5A" w:rsidRDefault="00014C5A" w:rsidP="00611267">
      <w:pPr>
        <w:spacing w:after="0" w:line="240" w:lineRule="auto"/>
      </w:pPr>
      <w:r>
        <w:separator/>
      </w:r>
    </w:p>
  </w:footnote>
  <w:footnote w:type="continuationSeparator" w:id="0">
    <w:p w:rsidR="00014C5A" w:rsidRDefault="00014C5A" w:rsidP="0061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1F"/>
    <w:multiLevelType w:val="hybridMultilevel"/>
    <w:tmpl w:val="54583B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FBD537E"/>
    <w:multiLevelType w:val="hybridMultilevel"/>
    <w:tmpl w:val="B4AA85FA"/>
    <w:lvl w:ilvl="0" w:tplc="53EAB4CE">
      <w:start w:val="1"/>
      <w:numFmt w:val="decimal"/>
      <w:lvlText w:val="%1."/>
      <w:lvlJc w:val="left"/>
      <w:pPr>
        <w:ind w:left="99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CA"/>
    <w:rsid w:val="000041C3"/>
    <w:rsid w:val="00014C5A"/>
    <w:rsid w:val="000415AF"/>
    <w:rsid w:val="00052183"/>
    <w:rsid w:val="00071E9B"/>
    <w:rsid w:val="0009602F"/>
    <w:rsid w:val="0009614F"/>
    <w:rsid w:val="00097667"/>
    <w:rsid w:val="000B509C"/>
    <w:rsid w:val="000E761E"/>
    <w:rsid w:val="00101436"/>
    <w:rsid w:val="00112157"/>
    <w:rsid w:val="001217BE"/>
    <w:rsid w:val="001220C2"/>
    <w:rsid w:val="00136CD2"/>
    <w:rsid w:val="00137403"/>
    <w:rsid w:val="00154A2A"/>
    <w:rsid w:val="00162251"/>
    <w:rsid w:val="001A210E"/>
    <w:rsid w:val="001B04FD"/>
    <w:rsid w:val="001B6069"/>
    <w:rsid w:val="002019AE"/>
    <w:rsid w:val="00223474"/>
    <w:rsid w:val="00266E3F"/>
    <w:rsid w:val="00276189"/>
    <w:rsid w:val="002809C9"/>
    <w:rsid w:val="002877DA"/>
    <w:rsid w:val="002A2E48"/>
    <w:rsid w:val="002C3BE0"/>
    <w:rsid w:val="002D3596"/>
    <w:rsid w:val="00306ECF"/>
    <w:rsid w:val="00336E24"/>
    <w:rsid w:val="00351A4E"/>
    <w:rsid w:val="00351E87"/>
    <w:rsid w:val="00363AE5"/>
    <w:rsid w:val="0036442B"/>
    <w:rsid w:val="003B02D2"/>
    <w:rsid w:val="003D08BF"/>
    <w:rsid w:val="003E05A6"/>
    <w:rsid w:val="00481EC2"/>
    <w:rsid w:val="00495113"/>
    <w:rsid w:val="004B2C52"/>
    <w:rsid w:val="004E533C"/>
    <w:rsid w:val="00525448"/>
    <w:rsid w:val="00570817"/>
    <w:rsid w:val="00586E8B"/>
    <w:rsid w:val="00593DEE"/>
    <w:rsid w:val="005D556B"/>
    <w:rsid w:val="005D70CF"/>
    <w:rsid w:val="005E61F9"/>
    <w:rsid w:val="00611267"/>
    <w:rsid w:val="00611DC5"/>
    <w:rsid w:val="00624652"/>
    <w:rsid w:val="006443DE"/>
    <w:rsid w:val="00644D87"/>
    <w:rsid w:val="00673A77"/>
    <w:rsid w:val="00683C42"/>
    <w:rsid w:val="006E03CA"/>
    <w:rsid w:val="00703AB2"/>
    <w:rsid w:val="00726434"/>
    <w:rsid w:val="00784197"/>
    <w:rsid w:val="00793379"/>
    <w:rsid w:val="007A4B69"/>
    <w:rsid w:val="007E71FE"/>
    <w:rsid w:val="00806ACD"/>
    <w:rsid w:val="00807BBE"/>
    <w:rsid w:val="00814011"/>
    <w:rsid w:val="00814F1E"/>
    <w:rsid w:val="00847443"/>
    <w:rsid w:val="008A7186"/>
    <w:rsid w:val="008B3D11"/>
    <w:rsid w:val="008C4765"/>
    <w:rsid w:val="008D317F"/>
    <w:rsid w:val="00903068"/>
    <w:rsid w:val="00933B3A"/>
    <w:rsid w:val="00947DBA"/>
    <w:rsid w:val="00952163"/>
    <w:rsid w:val="00962707"/>
    <w:rsid w:val="00963C4E"/>
    <w:rsid w:val="00970B11"/>
    <w:rsid w:val="009A414B"/>
    <w:rsid w:val="009B6A18"/>
    <w:rsid w:val="009C7A57"/>
    <w:rsid w:val="009D3FF6"/>
    <w:rsid w:val="009F73E8"/>
    <w:rsid w:val="00A1327C"/>
    <w:rsid w:val="00A2386A"/>
    <w:rsid w:val="00A24521"/>
    <w:rsid w:val="00A33267"/>
    <w:rsid w:val="00A50A8A"/>
    <w:rsid w:val="00A56CA0"/>
    <w:rsid w:val="00A6313A"/>
    <w:rsid w:val="00A822B0"/>
    <w:rsid w:val="00AA2172"/>
    <w:rsid w:val="00AB62D0"/>
    <w:rsid w:val="00AE0A03"/>
    <w:rsid w:val="00AF7BC4"/>
    <w:rsid w:val="00B075EB"/>
    <w:rsid w:val="00B377D7"/>
    <w:rsid w:val="00B42B02"/>
    <w:rsid w:val="00B5347A"/>
    <w:rsid w:val="00B6740E"/>
    <w:rsid w:val="00B81507"/>
    <w:rsid w:val="00C11975"/>
    <w:rsid w:val="00C53E9E"/>
    <w:rsid w:val="00C620E8"/>
    <w:rsid w:val="00C64D86"/>
    <w:rsid w:val="00CA548A"/>
    <w:rsid w:val="00CD1D87"/>
    <w:rsid w:val="00CE28C9"/>
    <w:rsid w:val="00CF6B48"/>
    <w:rsid w:val="00CF7F1F"/>
    <w:rsid w:val="00D24E2C"/>
    <w:rsid w:val="00D25C37"/>
    <w:rsid w:val="00D7655F"/>
    <w:rsid w:val="00D83CAE"/>
    <w:rsid w:val="00DB6FAB"/>
    <w:rsid w:val="00DD6099"/>
    <w:rsid w:val="00DE2F3B"/>
    <w:rsid w:val="00DE6FDD"/>
    <w:rsid w:val="00E038CB"/>
    <w:rsid w:val="00E27B6D"/>
    <w:rsid w:val="00E431CF"/>
    <w:rsid w:val="00E44C4A"/>
    <w:rsid w:val="00E51040"/>
    <w:rsid w:val="00E61A31"/>
    <w:rsid w:val="00E769BF"/>
    <w:rsid w:val="00E93E73"/>
    <w:rsid w:val="00EB6F46"/>
    <w:rsid w:val="00ED0CD9"/>
    <w:rsid w:val="00ED173B"/>
    <w:rsid w:val="00F14744"/>
    <w:rsid w:val="00F22BC2"/>
    <w:rsid w:val="00F9293F"/>
    <w:rsid w:val="00FA24EB"/>
    <w:rsid w:val="00FA7E90"/>
    <w:rsid w:val="00FB6E17"/>
    <w:rsid w:val="00FC55E6"/>
    <w:rsid w:val="00FC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E478"/>
  <w15:chartTrackingRefBased/>
  <w15:docId w15:val="{41185514-FBB2-42A1-8ACA-369EF6C2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611267"/>
    <w:pPr>
      <w:spacing w:after="200" w:line="276" w:lineRule="auto"/>
      <w:ind w:left="720"/>
      <w:contextualSpacing/>
    </w:pPr>
    <w:rPr>
      <w:rFonts w:eastAsiaTheme="minorEastAsia"/>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611267"/>
    <w:rPr>
      <w:rFonts w:eastAsiaTheme="minorEastAsia"/>
    </w:rPr>
  </w:style>
  <w:style w:type="paragraph" w:styleId="FootnoteText">
    <w:name w:val="footnote text"/>
    <w:basedOn w:val="Normal"/>
    <w:link w:val="FootnoteTextChar"/>
    <w:uiPriority w:val="99"/>
    <w:semiHidden/>
    <w:unhideWhenUsed/>
    <w:rsid w:val="00611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267"/>
    <w:rPr>
      <w:sz w:val="20"/>
      <w:szCs w:val="20"/>
    </w:rPr>
  </w:style>
  <w:style w:type="character" w:styleId="FootnoteReference">
    <w:name w:val="footnote reference"/>
    <w:basedOn w:val="DefaultParagraphFont"/>
    <w:uiPriority w:val="99"/>
    <w:semiHidden/>
    <w:unhideWhenUsed/>
    <w:rsid w:val="00611267"/>
    <w:rPr>
      <w:vertAlign w:val="superscript"/>
    </w:rPr>
  </w:style>
  <w:style w:type="character" w:styleId="Hyperlink">
    <w:name w:val="Hyperlink"/>
    <w:basedOn w:val="DefaultParagraphFont"/>
    <w:uiPriority w:val="99"/>
    <w:semiHidden/>
    <w:unhideWhenUsed/>
    <w:rsid w:val="00336E24"/>
    <w:rPr>
      <w:color w:val="0000FF"/>
      <w:u w:val="single"/>
    </w:rPr>
  </w:style>
  <w:style w:type="paragraph" w:styleId="Header">
    <w:name w:val="header"/>
    <w:basedOn w:val="Normal"/>
    <w:link w:val="HeaderChar"/>
    <w:uiPriority w:val="99"/>
    <w:unhideWhenUsed/>
    <w:rsid w:val="0033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24"/>
  </w:style>
  <w:style w:type="paragraph" w:styleId="Footer">
    <w:name w:val="footer"/>
    <w:basedOn w:val="Normal"/>
    <w:link w:val="FooterChar"/>
    <w:uiPriority w:val="99"/>
    <w:unhideWhenUsed/>
    <w:rsid w:val="0033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24"/>
  </w:style>
  <w:style w:type="paragraph" w:styleId="BalloonText">
    <w:name w:val="Balloon Text"/>
    <w:basedOn w:val="Normal"/>
    <w:link w:val="BalloonTextChar"/>
    <w:uiPriority w:val="99"/>
    <w:semiHidden/>
    <w:unhideWhenUsed/>
    <w:rsid w:val="0033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24"/>
    <w:rPr>
      <w:rFonts w:ascii="Segoe UI" w:hAnsi="Segoe UI" w:cs="Segoe UI"/>
      <w:sz w:val="18"/>
      <w:szCs w:val="18"/>
    </w:rPr>
  </w:style>
  <w:style w:type="paragraph" w:customStyle="1" w:styleId="Normal0">
    <w:name w:val="[Normal]"/>
    <w:uiPriority w:val="99"/>
    <w:rsid w:val="00F14744"/>
    <w:pPr>
      <w:autoSpaceDE w:val="0"/>
      <w:autoSpaceDN w:val="0"/>
      <w:adjustRightInd w:val="0"/>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E94C5-F2EA-4462-88B3-CCC774F9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5</cp:revision>
  <cp:lastPrinted>2022-11-02T11:44:00Z</cp:lastPrinted>
  <dcterms:created xsi:type="dcterms:W3CDTF">2023-11-01T13:04:00Z</dcterms:created>
  <dcterms:modified xsi:type="dcterms:W3CDTF">2023-11-01T13:04:00Z</dcterms:modified>
</cp:coreProperties>
</file>